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2E5B">
      <w:pPr>
        <w:snapToGrid w:val="0"/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 w14:paraId="357AF960">
      <w:pPr>
        <w:pStyle w:val="24"/>
        <w:spacing w:before="2496" w:beforeLines="800"/>
        <w:rPr>
          <w:rFonts w:eastAsia="方正小标宋_GBK"/>
          <w:bCs/>
          <w:kern w:val="2"/>
          <w:sz w:val="44"/>
          <w:szCs w:val="36"/>
        </w:rPr>
      </w:pPr>
      <w:r>
        <w:rPr>
          <w:rFonts w:hint="eastAsia" w:eastAsia="方正小标宋_GBK"/>
          <w:bCs/>
          <w:kern w:val="2"/>
          <w:sz w:val="44"/>
          <w:szCs w:val="36"/>
        </w:rPr>
        <w:t>林芝市公安局</w:t>
      </w:r>
    </w:p>
    <w:p w14:paraId="799681CB">
      <w:pPr>
        <w:pStyle w:val="24"/>
        <w:rPr>
          <w:rFonts w:eastAsia="方正小标宋_GBK"/>
          <w:bCs/>
        </w:rPr>
      </w:pPr>
      <w:r>
        <w:rPr>
          <w:rFonts w:eastAsia="方正小标宋_GBK"/>
          <w:bCs/>
          <w:kern w:val="2"/>
          <w:sz w:val="44"/>
          <w:szCs w:val="36"/>
        </w:rPr>
        <w:t>202</w:t>
      </w:r>
      <w:r>
        <w:rPr>
          <w:rFonts w:hint="eastAsia" w:eastAsia="方正小标宋_GBK"/>
          <w:bCs/>
          <w:kern w:val="2"/>
          <w:sz w:val="44"/>
          <w:szCs w:val="36"/>
          <w:lang w:val="en-US" w:eastAsia="zh-CN"/>
        </w:rPr>
        <w:t>3</w:t>
      </w:r>
      <w:r>
        <w:rPr>
          <w:rFonts w:eastAsia="方正小标宋_GBK"/>
          <w:bCs/>
          <w:kern w:val="2"/>
          <w:sz w:val="44"/>
          <w:szCs w:val="36"/>
        </w:rPr>
        <w:t>年</w:t>
      </w:r>
      <w:r>
        <w:rPr>
          <w:rFonts w:hint="eastAsia" w:eastAsia="方正小标宋_GBK"/>
          <w:bCs/>
          <w:kern w:val="2"/>
          <w:sz w:val="44"/>
          <w:szCs w:val="36"/>
        </w:rPr>
        <w:t>度项目</w:t>
      </w:r>
      <w:r>
        <w:rPr>
          <w:rFonts w:eastAsia="方正小标宋_GBK"/>
          <w:bCs/>
          <w:kern w:val="2"/>
          <w:sz w:val="44"/>
          <w:szCs w:val="36"/>
        </w:rPr>
        <w:t>支出绩效</w:t>
      </w:r>
      <w:r>
        <w:rPr>
          <w:rFonts w:hint="eastAsia" w:eastAsia="方正小标宋_GBK"/>
          <w:bCs/>
          <w:kern w:val="2"/>
          <w:sz w:val="44"/>
          <w:szCs w:val="36"/>
          <w:lang w:eastAsia="zh-CN"/>
        </w:rPr>
        <w:t>自评</w:t>
      </w:r>
      <w:r>
        <w:rPr>
          <w:rFonts w:eastAsia="方正小标宋_GBK"/>
          <w:bCs/>
          <w:kern w:val="2"/>
          <w:sz w:val="44"/>
          <w:szCs w:val="36"/>
        </w:rPr>
        <w:t>报告</w:t>
      </w:r>
    </w:p>
    <w:p w14:paraId="0563D23E">
      <w:pPr>
        <w:pStyle w:val="24"/>
        <w:spacing w:after="3120" w:afterLines="1000"/>
        <w:rPr>
          <w:rFonts w:eastAsia="方正仿宋_GBK"/>
        </w:rPr>
      </w:pPr>
    </w:p>
    <w:p w14:paraId="6B6C9E85">
      <w:pPr>
        <w:pStyle w:val="20"/>
        <w:snapToGrid w:val="0"/>
        <w:spacing w:line="600" w:lineRule="exact"/>
        <w:ind w:left="0" w:leftChars="0" w:firstLine="1120" w:firstLineChars="400"/>
        <w:rPr>
          <w:rFonts w:hint="eastAsia" w:eastAsia="方正小标宋_GBK"/>
          <w:color w:val="000000"/>
          <w:lang w:val="en-US" w:eastAsia="zh-CN" w:bidi="en-US"/>
        </w:rPr>
      </w:pPr>
      <w:r>
        <w:rPr>
          <w:rFonts w:hint="eastAsia" w:eastAsia="方正小标宋_GBK"/>
          <w:color w:val="000000"/>
          <w:lang w:val="en-US" w:bidi="en-US"/>
        </w:rPr>
        <w:t>项目名称：202</w:t>
      </w:r>
      <w:r>
        <w:rPr>
          <w:rFonts w:hint="eastAsia" w:eastAsia="方正小标宋_GBK"/>
          <w:color w:val="000000"/>
          <w:lang w:val="en-US" w:eastAsia="zh-CN" w:bidi="en-US"/>
        </w:rPr>
        <w:t>3</w:t>
      </w:r>
      <w:r>
        <w:rPr>
          <w:rFonts w:hint="eastAsia" w:eastAsia="方正小标宋_GBK"/>
          <w:color w:val="000000"/>
          <w:lang w:val="en-US" w:bidi="en-US"/>
        </w:rPr>
        <w:t>年度项目支出绩效</w:t>
      </w:r>
      <w:r>
        <w:rPr>
          <w:rFonts w:hint="eastAsia" w:eastAsia="方正小标宋_GBK"/>
          <w:color w:val="000000"/>
          <w:lang w:val="en-US" w:eastAsia="zh-CN" w:bidi="en-US"/>
        </w:rPr>
        <w:t>自评</w:t>
      </w:r>
    </w:p>
    <w:p w14:paraId="61C137ED">
      <w:pPr>
        <w:pStyle w:val="20"/>
        <w:snapToGrid w:val="0"/>
        <w:spacing w:line="600" w:lineRule="exact"/>
        <w:ind w:left="0" w:leftChars="0" w:firstLine="1120" w:firstLineChars="400"/>
        <w:rPr>
          <w:rFonts w:eastAsia="方正小标宋_GBK"/>
          <w:color w:val="000000"/>
          <w:lang w:val="en-US" w:bidi="en-US"/>
        </w:rPr>
      </w:pPr>
      <w:r>
        <w:rPr>
          <w:rFonts w:hint="eastAsia" w:eastAsia="方正小标宋_GBK"/>
          <w:color w:val="000000"/>
          <w:lang w:val="en-US" w:bidi="en-US"/>
        </w:rPr>
        <w:t>实施单位：林芝市公安局</w:t>
      </w:r>
    </w:p>
    <w:p w14:paraId="6BDE2E6E">
      <w:pPr>
        <w:pStyle w:val="20"/>
        <w:ind w:left="0" w:leftChars="0"/>
        <w:jc w:val="center"/>
        <w:rPr>
          <w:rFonts w:hint="eastAsia" w:eastAsia="方正小标宋_GBK" w:cs="方正小标宋_GBK"/>
          <w:bCs/>
          <w:szCs w:val="44"/>
        </w:rPr>
      </w:pPr>
    </w:p>
    <w:p w14:paraId="160096FC">
      <w:pPr>
        <w:pStyle w:val="20"/>
        <w:ind w:left="0" w:leftChars="0"/>
        <w:jc w:val="center"/>
        <w:rPr>
          <w:rFonts w:hint="eastAsia" w:eastAsia="方正小标宋_GBK" w:cs="方正小标宋_GBK"/>
          <w:bCs/>
          <w:szCs w:val="44"/>
        </w:rPr>
      </w:pPr>
    </w:p>
    <w:p w14:paraId="17BE8F04">
      <w:pPr>
        <w:pStyle w:val="20"/>
        <w:ind w:left="0" w:leftChars="0" w:firstLine="5880" w:firstLineChars="2100"/>
        <w:jc w:val="both"/>
        <w:rPr>
          <w:rFonts w:eastAsia="方正仿宋_GBK"/>
        </w:rPr>
      </w:pPr>
      <w:r>
        <w:rPr>
          <w:rFonts w:hint="eastAsia" w:eastAsia="方正小标宋_GBK" w:cs="方正小标宋_GBK"/>
          <w:bCs/>
          <w:szCs w:val="44"/>
        </w:rPr>
        <w:t>202</w:t>
      </w:r>
      <w:r>
        <w:rPr>
          <w:rFonts w:hint="eastAsia" w:eastAsia="方正小标宋_GBK" w:cs="方正小标宋_GBK"/>
          <w:bCs/>
          <w:szCs w:val="44"/>
          <w:lang w:val="en-US" w:eastAsia="zh-CN"/>
        </w:rPr>
        <w:t>4</w:t>
      </w:r>
      <w:r>
        <w:rPr>
          <w:rFonts w:hint="eastAsia" w:eastAsia="方正小标宋_GBK" w:cs="方正小标宋_GBK"/>
          <w:bCs/>
          <w:szCs w:val="44"/>
        </w:rPr>
        <w:t>年</w:t>
      </w:r>
      <w:r>
        <w:rPr>
          <w:rFonts w:hint="eastAsia" w:eastAsia="方正小标宋_GBK" w:cs="方正小标宋_GBK"/>
          <w:bCs/>
          <w:szCs w:val="44"/>
          <w:lang w:val="en-US" w:eastAsia="zh-CN"/>
        </w:rPr>
        <w:t>4</w:t>
      </w:r>
      <w:r>
        <w:rPr>
          <w:rFonts w:hint="eastAsia" w:eastAsia="方正小标宋_GBK" w:cs="方正小标宋_GBK"/>
          <w:bCs/>
          <w:szCs w:val="44"/>
        </w:rPr>
        <w:t>月</w:t>
      </w:r>
    </w:p>
    <w:p w14:paraId="2ED77D98"/>
    <w:p w14:paraId="3B18A67C">
      <w:pPr>
        <w:pStyle w:val="2"/>
      </w:pPr>
    </w:p>
    <w:p w14:paraId="417BFF04"/>
    <w:p w14:paraId="3152353E">
      <w:pPr>
        <w:pStyle w:val="2"/>
      </w:pPr>
    </w:p>
    <w:p w14:paraId="067DF8C0"/>
    <w:sdt>
      <w:sdtPr>
        <w:rPr>
          <w:rFonts w:hint="eastAsia" w:eastAsia="方正楷体_GBK" w:cs="方正楷体_GBK"/>
          <w:sz w:val="44"/>
          <w:szCs w:val="44"/>
        </w:rPr>
        <w:id w:val="147469220"/>
        <w:docPartObj>
          <w:docPartGallery w:val="Table of Contents"/>
          <w:docPartUnique/>
        </w:docPartObj>
      </w:sdtPr>
      <w:sdtEndPr>
        <w:rPr>
          <w:rFonts w:hint="eastAsia" w:eastAsia="方正仿宋_GBK" w:cs="Times New Roman"/>
          <w:b/>
          <w:sz w:val="21"/>
          <w:szCs w:val="24"/>
        </w:rPr>
      </w:sdtEndPr>
      <w:sdtContent>
        <w:p w14:paraId="32E0B96E">
          <w:pPr>
            <w:widowControl/>
            <w:jc w:val="center"/>
            <w:rPr>
              <w:rFonts w:eastAsia="方正楷体_GBK" w:cs="方正楷体_GBK"/>
              <w:sz w:val="44"/>
              <w:szCs w:val="44"/>
              <w:lang w:val="zh-CN"/>
            </w:rPr>
          </w:pPr>
          <w:r>
            <w:rPr>
              <w:rFonts w:hint="eastAsia" w:eastAsia="方正楷体_GBK" w:cs="方正楷体_GBK"/>
              <w:sz w:val="44"/>
              <w:szCs w:val="44"/>
              <w:lang w:val="zh-CN"/>
            </w:rPr>
            <w:t>目</w:t>
          </w:r>
          <w:r>
            <w:rPr>
              <w:rFonts w:hint="eastAsia" w:eastAsia="方正楷体_GBK" w:cs="方正楷体_GBK"/>
              <w:sz w:val="44"/>
              <w:szCs w:val="44"/>
            </w:rPr>
            <w:t xml:space="preserve"> </w:t>
          </w:r>
          <w:r>
            <w:rPr>
              <w:rFonts w:hint="eastAsia" w:eastAsia="方正楷体_GBK" w:cs="方正楷体_GBK"/>
              <w:sz w:val="44"/>
              <w:szCs w:val="44"/>
              <w:lang w:val="zh-CN"/>
            </w:rPr>
            <w:t>录</w:t>
          </w:r>
        </w:p>
        <w:p w14:paraId="48662A86">
          <w:pPr>
            <w:pStyle w:val="13"/>
            <w:rPr>
              <w:rFonts w:asciiTheme="minorHAnsi" w:hAnsiTheme="minorHAnsi" w:eastAsiaTheme="minorEastAsia" w:cstheme="minorBidi"/>
              <w:b w:val="0"/>
              <w:kern w:val="2"/>
              <w:sz w:val="21"/>
              <w:szCs w:val="22"/>
              <w:lang w:val="en-US"/>
            </w:rPr>
          </w:pPr>
          <w:r>
            <w:rPr>
              <w:rFonts w:eastAsia="方正楷体_GBK"/>
            </w:rPr>
            <w:fldChar w:fldCharType="begin"/>
          </w:r>
          <w:r>
            <w:rPr>
              <w:rFonts w:eastAsia="方正楷体_GBK"/>
            </w:rPr>
            <w:instrText xml:space="preserve">TOC \o "1-2" \h \u </w:instrText>
          </w:r>
          <w:r>
            <w:rPr>
              <w:rFonts w:eastAsia="方正楷体_GBK"/>
            </w:rPr>
            <w:fldChar w:fldCharType="separate"/>
          </w:r>
          <w:r>
            <w:fldChar w:fldCharType="begin"/>
          </w:r>
          <w:r>
            <w:instrText xml:space="preserve"> HYPERLINK \l "_Toc120481302"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一、绩效评价工作情况</w:t>
          </w:r>
          <w:r>
            <w:tab/>
          </w:r>
          <w:r>
            <w:fldChar w:fldCharType="begin"/>
          </w:r>
          <w:r>
            <w:instrText xml:space="preserve"> PAGEREF _Toc120481302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7EE40FB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"_Toc120481303"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(一)评价目的和方法</w:t>
          </w:r>
          <w:r>
            <w:tab/>
          </w:r>
          <w:r>
            <w:fldChar w:fldCharType="begin"/>
          </w:r>
          <w:r>
            <w:instrText xml:space="preserve"> PAGEREF _Toc120481303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55C3F1C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"_Toc120481304"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(二)评价指标</w:t>
          </w:r>
          <w:r>
            <w:tab/>
          </w:r>
          <w:r>
            <w:fldChar w:fldCharType="begin"/>
          </w:r>
          <w:r>
            <w:instrText xml:space="preserve"> PAGEREF _Toc120481304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3BBA5B22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"_Toc120481305"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1.指标体系设计总体思路</w:t>
          </w:r>
          <w:r>
            <w:tab/>
          </w:r>
          <w:r>
            <w:fldChar w:fldCharType="begin"/>
          </w:r>
          <w:r>
            <w:instrText xml:space="preserve"> PAGEREF _Toc120481305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74E8E745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"_Toc120481306"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2.个性指标设计思路</w:t>
          </w:r>
          <w:r>
            <w:tab/>
          </w:r>
          <w:r>
            <w:fldChar w:fldCharType="begin"/>
          </w:r>
          <w:r>
            <w:instrText xml:space="preserve"> PAGEREF _Toc120481306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6A3C6DC6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"_Toc120481307"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3.评价指标体系</w:t>
          </w:r>
          <w:r>
            <w:tab/>
          </w:r>
          <w:r>
            <w:fldChar w:fldCharType="begin"/>
          </w:r>
          <w:r>
            <w:instrText xml:space="preserve"> PAGEREF _Toc120481307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5253CAAB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"_Toc120481308"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(三)评价的组织实施</w:t>
          </w:r>
          <w:r>
            <w:tab/>
          </w:r>
          <w:r>
            <w:fldChar w:fldCharType="begin"/>
          </w:r>
          <w:r>
            <w:instrText xml:space="preserve"> PAGEREF _Toc120481308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E8AEFBD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"_Toc120481309" </w:instrText>
          </w:r>
          <w:r>
            <w:fldChar w:fldCharType="separate"/>
          </w:r>
          <w:r>
            <w:rPr>
              <w:rStyle w:val="17"/>
              <w:rFonts w:ascii="宋体" w:hAnsi="宋体"/>
            </w:rPr>
            <w:t>1.前期准备</w:t>
          </w:r>
          <w:r>
            <w:tab/>
          </w:r>
          <w:r>
            <w:fldChar w:fldCharType="begin"/>
          </w:r>
          <w:r>
            <w:instrText xml:space="preserve"> PAGEREF _Toc120481309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8E44321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"_Toc120481310" </w:instrText>
          </w:r>
          <w:r>
            <w:fldChar w:fldCharType="separate"/>
          </w:r>
          <w:r>
            <w:rPr>
              <w:rStyle w:val="17"/>
              <w:rFonts w:ascii="宋体" w:hAnsi="宋体"/>
            </w:rPr>
            <w:t>2.现场评价</w:t>
          </w:r>
          <w:r>
            <w:tab/>
          </w:r>
          <w:r>
            <w:fldChar w:fldCharType="begin"/>
          </w:r>
          <w:r>
            <w:instrText xml:space="preserve"> PAGEREF _Toc120481310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B381E58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"_Toc120481311" </w:instrText>
          </w:r>
          <w:r>
            <w:fldChar w:fldCharType="separate"/>
          </w:r>
          <w:r>
            <w:rPr>
              <w:rStyle w:val="17"/>
              <w:rFonts w:ascii="宋体" w:hAnsi="宋体"/>
            </w:rPr>
            <w:t>3.报告撰写</w:t>
          </w:r>
          <w:r>
            <w:tab/>
          </w:r>
          <w:r>
            <w:fldChar w:fldCharType="begin"/>
          </w:r>
          <w:r>
            <w:instrText xml:space="preserve"> PAGEREF _Toc120481311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541F378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"_Toc120481312"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(四)绩效评价框架</w:t>
          </w:r>
          <w:r>
            <w:tab/>
          </w:r>
          <w:r>
            <w:fldChar w:fldCharType="begin"/>
          </w:r>
          <w:r>
            <w:instrText xml:space="preserve"> PAGEREF _Toc120481312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1B4BE786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"_Toc120481313"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1.评价原则</w:t>
          </w:r>
          <w:r>
            <w:tab/>
          </w:r>
          <w:r>
            <w:fldChar w:fldCharType="begin"/>
          </w:r>
          <w:r>
            <w:instrText xml:space="preserve"> PAGEREF _Toc120481313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1F826BD8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"_Toc120481314"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2.评价依据</w:t>
          </w:r>
          <w:r>
            <w:tab/>
          </w:r>
          <w:r>
            <w:fldChar w:fldCharType="begin"/>
          </w:r>
          <w:r>
            <w:instrText xml:space="preserve"> PAGEREF _Toc120481314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9A70B05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"_Toc120481315"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(五)具体评价范围</w:t>
          </w:r>
          <w:r>
            <w:tab/>
          </w:r>
          <w:r>
            <w:fldChar w:fldCharType="begin"/>
          </w:r>
          <w:r>
            <w:instrText xml:space="preserve"> PAGEREF _Toc120481315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4482C2A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"_Toc120481316"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(六)评价结论</w:t>
          </w:r>
          <w:r>
            <w:tab/>
          </w:r>
          <w:r>
            <w:fldChar w:fldCharType="begin"/>
          </w:r>
          <w:r>
            <w:instrText xml:space="preserve"> PAGEREF _Toc120481316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74539349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"_Toc120481317"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1. 202</w:t>
          </w:r>
          <w:r>
            <w:rPr>
              <w:rStyle w:val="17"/>
              <w:rFonts w:hint="eastAsia" w:ascii="宋体" w:hAnsi="宋体"/>
              <w:bCs/>
              <w:lang w:val="en-US" w:eastAsia="zh-CN"/>
            </w:rPr>
            <w:t>3</w:t>
          </w:r>
          <w:r>
            <w:rPr>
              <w:rStyle w:val="17"/>
              <w:rFonts w:ascii="宋体" w:hAnsi="宋体"/>
              <w:bCs/>
            </w:rPr>
            <w:t>年度重点项目</w:t>
          </w:r>
          <w:r>
            <w:tab/>
          </w:r>
          <w:r>
            <w:fldChar w:fldCharType="begin"/>
          </w:r>
          <w:r>
            <w:instrText xml:space="preserve"> PAGEREF _Toc120481317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C2109D9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"_Toc120481318"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2. 202</w:t>
          </w:r>
          <w:r>
            <w:rPr>
              <w:rStyle w:val="17"/>
              <w:rFonts w:hint="eastAsia" w:ascii="宋体" w:hAnsi="宋体"/>
              <w:bCs/>
              <w:lang w:val="en-US" w:eastAsia="zh-CN"/>
            </w:rPr>
            <w:t>3</w:t>
          </w:r>
          <w:r>
            <w:rPr>
              <w:rStyle w:val="17"/>
              <w:rFonts w:ascii="宋体" w:hAnsi="宋体"/>
              <w:bCs/>
            </w:rPr>
            <w:t>年未评价项目</w:t>
          </w:r>
          <w:r>
            <w:tab/>
          </w:r>
          <w:r>
            <w:fldChar w:fldCharType="begin"/>
          </w:r>
          <w:r>
            <w:instrText xml:space="preserve"> PAGEREF _Toc120481318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4E990E81">
          <w:pPr>
            <w:pStyle w:val="13"/>
            <w:rPr>
              <w:rFonts w:asciiTheme="minorHAnsi" w:hAnsiTheme="minorHAnsi" w:eastAsiaTheme="minorEastAsia" w:cstheme="minorBidi"/>
              <w:b w:val="0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"_Toc120481319" </w:instrText>
          </w:r>
          <w:r>
            <w:fldChar w:fldCharType="separate"/>
          </w:r>
          <w:r>
            <w:rPr>
              <w:rStyle w:val="17"/>
              <w:rFonts w:ascii="宋体" w:hAnsi="宋体" w:cs="宋体"/>
            </w:rPr>
            <w:t>二、存在的主要问题</w:t>
          </w:r>
          <w:r>
            <w:tab/>
          </w:r>
          <w:r>
            <w:fldChar w:fldCharType="begin"/>
          </w:r>
          <w:r>
            <w:instrText xml:space="preserve"> PAGEREF _Toc120481319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0AC3F4A8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"_Toc120481320"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(一)绩效指标设置不完整、不规范</w:t>
          </w:r>
          <w:r>
            <w:tab/>
          </w:r>
          <w:r>
            <w:fldChar w:fldCharType="begin"/>
          </w:r>
          <w:r>
            <w:instrText xml:space="preserve"> PAGEREF _Toc120481320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1849BDD4">
          <w:pPr>
            <w:pStyle w:val="13"/>
            <w:rPr>
              <w:rFonts w:asciiTheme="minorHAnsi" w:hAnsiTheme="minorHAnsi" w:eastAsiaTheme="minorEastAsia" w:cstheme="minorBidi"/>
              <w:b w:val="0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"_Toc120481321" </w:instrText>
          </w:r>
          <w:r>
            <w:fldChar w:fldCharType="separate"/>
          </w:r>
          <w:r>
            <w:rPr>
              <w:rStyle w:val="17"/>
              <w:rFonts w:ascii="宋体" w:hAnsi="宋体" w:cs="宋体"/>
            </w:rPr>
            <w:t>三、相关措施及建议</w:t>
          </w:r>
          <w:r>
            <w:tab/>
          </w:r>
          <w:r>
            <w:fldChar w:fldCharType="begin"/>
          </w:r>
          <w:r>
            <w:instrText xml:space="preserve"> PAGEREF _Toc120481321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4677E77">
          <w:pPr>
            <w:pStyle w:val="14"/>
            <w:ind w:left="420"/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/>
            </w:rPr>
          </w:pPr>
          <w:r>
            <w:fldChar w:fldCharType="begin"/>
          </w:r>
          <w:r>
            <w:instrText xml:space="preserve"> HYPERLINK \l "_Toc120481322" </w:instrText>
          </w:r>
          <w:r>
            <w:fldChar w:fldCharType="separate"/>
          </w:r>
          <w:r>
            <w:rPr>
              <w:rStyle w:val="17"/>
              <w:rFonts w:ascii="宋体" w:hAnsi="宋体"/>
              <w:bCs/>
            </w:rPr>
            <w:t>(一)规范项目绩效目标编制</w:t>
          </w:r>
          <w:r>
            <w:tab/>
          </w:r>
          <w:r>
            <w:fldChar w:fldCharType="begin"/>
          </w:r>
          <w:r>
            <w:instrText xml:space="preserve"> PAGEREF _Toc120481322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A1F102F">
          <w:r>
            <w:rPr>
              <w:rFonts w:eastAsia="方正楷体_GBK"/>
              <w:szCs w:val="28"/>
            </w:rPr>
            <w:fldChar w:fldCharType="end"/>
          </w:r>
        </w:p>
      </w:sdtContent>
    </w:sdt>
    <w:p w14:paraId="35A27EE6">
      <w:pPr>
        <w:spacing w:line="600" w:lineRule="exact"/>
        <w:jc w:val="center"/>
        <w:rPr>
          <w:rFonts w:eastAsia="方正小标宋_GBK"/>
          <w:bCs/>
          <w:sz w:val="44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p w14:paraId="5CF5A4DF">
      <w:pPr>
        <w:spacing w:line="600" w:lineRule="exact"/>
        <w:jc w:val="center"/>
        <w:rPr>
          <w:rFonts w:eastAsia="方正小标宋_GBK"/>
          <w:bCs/>
          <w:sz w:val="44"/>
          <w:szCs w:val="36"/>
        </w:rPr>
      </w:pPr>
      <w:r>
        <w:rPr>
          <w:rFonts w:hint="eastAsia" w:eastAsia="方正小标宋_GBK"/>
          <w:bCs/>
          <w:sz w:val="44"/>
          <w:szCs w:val="36"/>
        </w:rPr>
        <w:t>林芝市公安局</w:t>
      </w:r>
    </w:p>
    <w:p w14:paraId="1C1E439D">
      <w:pPr>
        <w:spacing w:line="600" w:lineRule="exact"/>
        <w:jc w:val="center"/>
        <w:rPr>
          <w:rFonts w:eastAsia="方正小标宋_GBK"/>
          <w:b/>
          <w:sz w:val="44"/>
          <w:szCs w:val="36"/>
        </w:rPr>
      </w:pPr>
      <w:r>
        <w:rPr>
          <w:rFonts w:eastAsia="方正小标宋_GBK"/>
          <w:bCs/>
          <w:sz w:val="44"/>
          <w:szCs w:val="36"/>
        </w:rPr>
        <w:t>202</w:t>
      </w:r>
      <w:r>
        <w:rPr>
          <w:rFonts w:hint="eastAsia" w:eastAsia="方正小标宋_GBK"/>
          <w:bCs/>
          <w:sz w:val="44"/>
          <w:szCs w:val="36"/>
          <w:lang w:val="en-US" w:eastAsia="zh-CN"/>
        </w:rPr>
        <w:t>3</w:t>
      </w:r>
      <w:r>
        <w:rPr>
          <w:rFonts w:eastAsia="方正小标宋_GBK"/>
          <w:bCs/>
          <w:sz w:val="44"/>
          <w:szCs w:val="36"/>
        </w:rPr>
        <w:t>年</w:t>
      </w:r>
      <w:r>
        <w:rPr>
          <w:rFonts w:hint="eastAsia" w:eastAsia="方正小标宋_GBK"/>
          <w:bCs/>
          <w:sz w:val="44"/>
          <w:szCs w:val="36"/>
        </w:rPr>
        <w:t>度项目</w:t>
      </w:r>
      <w:r>
        <w:rPr>
          <w:rFonts w:eastAsia="方正小标宋_GBK"/>
          <w:bCs/>
          <w:sz w:val="44"/>
          <w:szCs w:val="36"/>
        </w:rPr>
        <w:t>支出绩效</w:t>
      </w:r>
      <w:r>
        <w:rPr>
          <w:rFonts w:hint="eastAsia" w:eastAsia="方正小标宋_GBK"/>
          <w:bCs/>
          <w:sz w:val="44"/>
          <w:szCs w:val="36"/>
          <w:lang w:eastAsia="zh-CN"/>
        </w:rPr>
        <w:t>自评</w:t>
      </w:r>
      <w:r>
        <w:rPr>
          <w:rFonts w:eastAsia="方正小标宋_GBK"/>
          <w:bCs/>
          <w:sz w:val="44"/>
          <w:szCs w:val="36"/>
        </w:rPr>
        <w:t>报告</w:t>
      </w:r>
    </w:p>
    <w:p w14:paraId="293D2A06">
      <w:pPr>
        <w:pStyle w:val="4"/>
        <w:spacing w:before="312" w:beforeLines="100" w:line="560" w:lineRule="exact"/>
        <w:ind w:left="0" w:leftChars="0" w:firstLine="0" w:firstLineChars="0"/>
        <w:rPr>
          <w:rFonts w:hint="eastAsia" w:ascii="宋体" w:hAnsi="宋体" w:eastAsia="宋体"/>
          <w:sz w:val="28"/>
          <w:highlight w:val="none"/>
          <w:lang w:val="en-US" w:eastAsia="zh-CN"/>
        </w:rPr>
      </w:pPr>
      <w:bookmarkStart w:id="0" w:name="_Hlk112428554"/>
    </w:p>
    <w:p w14:paraId="019B5715">
      <w:pPr>
        <w:pStyle w:val="4"/>
        <w:spacing w:before="312" w:beforeLines="100" w:line="560" w:lineRule="exact"/>
        <w:ind w:left="0" w:leftChars="0" w:firstLine="0" w:firstLineChars="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  <w:highlight w:val="none"/>
          <w:lang w:val="en-US" w:eastAsia="zh-CN"/>
        </w:rPr>
        <w:t>林芝市财政局：</w:t>
      </w:r>
    </w:p>
    <w:p w14:paraId="0AD7BB93">
      <w:pPr>
        <w:pStyle w:val="4"/>
        <w:spacing w:before="312" w:beforeLines="100" w:line="560" w:lineRule="exact"/>
        <w:ind w:firstLine="56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按照</w:t>
      </w:r>
      <w:r>
        <w:rPr>
          <w:rFonts w:hint="eastAsia" w:ascii="宋体" w:hAnsi="宋体" w:eastAsia="宋体"/>
          <w:sz w:val="28"/>
        </w:rPr>
        <w:t>西藏自治区</w:t>
      </w:r>
      <w:bookmarkStart w:id="1" w:name="_Hlk111214166"/>
      <w:r>
        <w:rPr>
          <w:rFonts w:hint="eastAsia" w:ascii="宋体" w:hAnsi="宋体" w:eastAsia="宋体"/>
          <w:sz w:val="28"/>
        </w:rPr>
        <w:t>《西藏自治区财政支出预算绩效评价管理暂行办法》（藏财预字〔2017〕89号）</w:t>
      </w:r>
      <w:bookmarkEnd w:id="1"/>
      <w:r>
        <w:rPr>
          <w:rFonts w:hint="eastAsia" w:ascii="宋体" w:hAnsi="宋体" w:eastAsia="宋体"/>
          <w:sz w:val="28"/>
        </w:rPr>
        <w:t>、《项目支出绩效评价管理办法》（财预〔2020〕10号）</w:t>
      </w:r>
      <w:r>
        <w:rPr>
          <w:rFonts w:hint="eastAsia" w:ascii="宋体" w:hAnsi="宋体" w:eastAsia="宋体"/>
          <w:sz w:val="28"/>
          <w:lang w:eastAsia="zh-CN"/>
        </w:rPr>
        <w:t>，我局对</w:t>
      </w:r>
      <w:r>
        <w:rPr>
          <w:rFonts w:ascii="宋体" w:hAnsi="宋体" w:eastAsia="宋体"/>
          <w:sz w:val="28"/>
          <w:lang w:val="en-US"/>
        </w:rPr>
        <w:t>202</w:t>
      </w:r>
      <w:r>
        <w:rPr>
          <w:rFonts w:hint="eastAsia" w:ascii="宋体" w:hAnsi="宋体" w:eastAsia="宋体"/>
          <w:sz w:val="28"/>
          <w:lang w:val="en-US" w:eastAsia="zh-CN"/>
        </w:rPr>
        <w:t>3</w:t>
      </w:r>
      <w:r>
        <w:rPr>
          <w:rFonts w:ascii="宋体" w:hAnsi="宋体" w:eastAsia="宋体"/>
          <w:sz w:val="28"/>
          <w:lang w:val="en-US"/>
        </w:rPr>
        <w:t>年</w:t>
      </w:r>
      <w:r>
        <w:rPr>
          <w:rFonts w:hint="eastAsia" w:ascii="宋体" w:hAnsi="宋体" w:eastAsia="宋体"/>
          <w:sz w:val="28"/>
          <w:lang w:val="en-US"/>
        </w:rPr>
        <w:t>度</w:t>
      </w:r>
      <w:r>
        <w:rPr>
          <w:rFonts w:hint="eastAsia" w:ascii="宋体" w:hAnsi="宋体" w:eastAsia="宋体"/>
          <w:sz w:val="28"/>
        </w:rPr>
        <w:t>重点项目</w:t>
      </w:r>
      <w:r>
        <w:rPr>
          <w:rFonts w:ascii="宋体" w:hAnsi="宋体" w:eastAsia="宋体"/>
          <w:sz w:val="28"/>
        </w:rPr>
        <w:t>支出开展绩效</w:t>
      </w:r>
      <w:r>
        <w:rPr>
          <w:rFonts w:hint="eastAsia" w:ascii="宋体" w:hAnsi="宋体" w:eastAsia="宋体"/>
          <w:sz w:val="28"/>
          <w:lang w:eastAsia="zh-CN"/>
        </w:rPr>
        <w:t>自评</w:t>
      </w:r>
      <w:r>
        <w:rPr>
          <w:rFonts w:ascii="宋体" w:hAnsi="宋体" w:eastAsia="宋体"/>
          <w:sz w:val="28"/>
        </w:rPr>
        <w:t>，</w:t>
      </w:r>
      <w:r>
        <w:rPr>
          <w:rFonts w:hint="eastAsia" w:ascii="宋体" w:hAnsi="宋体" w:eastAsia="宋体"/>
          <w:sz w:val="28"/>
        </w:rPr>
        <w:t>现将有关情况报告如下：</w:t>
      </w:r>
    </w:p>
    <w:bookmarkEnd w:id="0"/>
    <w:p w14:paraId="7793DC9E">
      <w:pPr>
        <w:spacing w:line="560" w:lineRule="exact"/>
        <w:ind w:firstLine="560" w:firstLineChars="200"/>
        <w:outlineLvl w:val="0"/>
        <w:rPr>
          <w:rFonts w:ascii="宋体" w:hAnsi="宋体"/>
          <w:bCs/>
          <w:sz w:val="28"/>
          <w:szCs w:val="28"/>
        </w:rPr>
      </w:pPr>
      <w:bookmarkStart w:id="2" w:name="_Toc16261841"/>
      <w:bookmarkEnd w:id="2"/>
      <w:bookmarkStart w:id="3" w:name="_Toc15545197"/>
      <w:bookmarkEnd w:id="3"/>
      <w:bookmarkStart w:id="4" w:name="_Toc16261793"/>
      <w:bookmarkEnd w:id="4"/>
      <w:bookmarkStart w:id="5" w:name="_Toc15544460"/>
      <w:bookmarkEnd w:id="5"/>
      <w:bookmarkStart w:id="6" w:name="_Toc15545162"/>
      <w:bookmarkEnd w:id="6"/>
      <w:bookmarkStart w:id="7" w:name="_Toc16602034"/>
      <w:bookmarkEnd w:id="7"/>
      <w:bookmarkStart w:id="8" w:name="_Toc13809"/>
      <w:bookmarkStart w:id="9" w:name="_Toc120481302"/>
      <w:bookmarkStart w:id="10" w:name="_Hlk112432288"/>
      <w:r>
        <w:rPr>
          <w:rFonts w:hint="eastAsia" w:ascii="宋体" w:hAnsi="宋体"/>
          <w:bCs/>
          <w:sz w:val="28"/>
          <w:szCs w:val="28"/>
        </w:rPr>
        <w:t>一</w:t>
      </w:r>
      <w:r>
        <w:rPr>
          <w:rFonts w:ascii="宋体" w:hAnsi="宋体"/>
          <w:bCs/>
          <w:sz w:val="28"/>
          <w:szCs w:val="28"/>
        </w:rPr>
        <w:t>、</w:t>
      </w:r>
      <w:bookmarkEnd w:id="8"/>
      <w:r>
        <w:rPr>
          <w:rFonts w:hint="eastAsia" w:ascii="宋体" w:hAnsi="宋体"/>
          <w:bCs/>
          <w:sz w:val="28"/>
          <w:szCs w:val="28"/>
        </w:rPr>
        <w:t>绩效评价工作情况</w:t>
      </w:r>
      <w:bookmarkEnd w:id="9"/>
    </w:p>
    <w:p w14:paraId="4D27B86C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1" w:name="_Toc8569"/>
      <w:bookmarkStart w:id="12" w:name="_Toc120481303"/>
      <w:r>
        <w:rPr>
          <w:rFonts w:ascii="宋体" w:hAnsi="宋体"/>
          <w:bCs/>
          <w:sz w:val="28"/>
          <w:szCs w:val="28"/>
        </w:rPr>
        <w:t>(一)</w:t>
      </w:r>
      <w:bookmarkEnd w:id="11"/>
      <w:r>
        <w:rPr>
          <w:rFonts w:hint="eastAsia" w:ascii="宋体" w:hAnsi="宋体"/>
          <w:bCs/>
          <w:sz w:val="28"/>
          <w:szCs w:val="28"/>
        </w:rPr>
        <w:t>评价目的和方法</w:t>
      </w:r>
      <w:bookmarkEnd w:id="12"/>
    </w:p>
    <w:p w14:paraId="46EA753A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1.评价目的</w:t>
      </w:r>
    </w:p>
    <w:p w14:paraId="10FD26BF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eastAsia="zh-CN"/>
        </w:rPr>
        <w:t>本次自评工作，我局坚持</w:t>
      </w:r>
      <w:r>
        <w:rPr>
          <w:rFonts w:hint="eastAsia" w:ascii="宋体" w:hAnsi="宋体"/>
          <w:kern w:val="0"/>
          <w:sz w:val="28"/>
          <w:szCs w:val="28"/>
        </w:rPr>
        <w:t>以结果评价为主、过程评价为辅，分类分层构建指向明确、量化可比、特性鲜明、简便易行的指标体系，分析存在的问题并提出相关建议，为决策部门健全制度机制、调整支出结构、优化资源配置提供技术支撑，促进提高项目资金使用绩效。</w:t>
      </w:r>
    </w:p>
    <w:p w14:paraId="29D01569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2.评价方法</w:t>
      </w:r>
    </w:p>
    <w:p w14:paraId="64F541D0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本次项目评价在指标分析法的基础上，通过运用公众评判法、比较法、成本效益分析法、因素分析法等，从多个角度对项目进行分析。</w:t>
      </w:r>
    </w:p>
    <w:p w14:paraId="3BD88395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（1）公众评判法。是指通过专家评估、公众问卷及抽样调查等方式进行评判的方法。评价组对本项目受益群众进行问卷调研，同时踏勘部分项目实施点位，综合分析项目完成质量与效果。</w:t>
      </w:r>
    </w:p>
    <w:p w14:paraId="28C382FE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（2）比较法。是指将实施情况与绩效目标进行比较的方法。评价组梳理本项目绩效目标，并实地踏勘、核查资料，将项目实施情况与绩效目标对比。</w:t>
      </w:r>
    </w:p>
    <w:p w14:paraId="2F08AC54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（3）成本效益分析法。是指将投入与产出、效益进行关联性分析的方法。评价组通过梳理本项目成果与投入使用情况，分析其投入是否发挥最大效益。</w:t>
      </w:r>
    </w:p>
    <w:p w14:paraId="0D7CBD7F">
      <w:pPr>
        <w:numPr>
          <w:ilvl w:val="1"/>
          <w:numId w:val="0"/>
        </w:numPr>
        <w:spacing w:line="560" w:lineRule="exact"/>
        <w:ind w:firstLine="560" w:firstLineChars="200"/>
      </w:pPr>
      <w:r>
        <w:rPr>
          <w:rFonts w:hint="eastAsia" w:ascii="宋体" w:hAnsi="宋体"/>
          <w:kern w:val="0"/>
          <w:sz w:val="28"/>
          <w:szCs w:val="28"/>
        </w:rPr>
        <w:t>（4）因素分析法。通过梳理影响绩效目标实现的内外因素，以及项目绩效目标的实现程度，分析这些因素对目标实现的影响力，从而进一步分析如何通过控制这些影响因素来提高项目的实施效果，达到项目绩效目标。</w:t>
      </w:r>
    </w:p>
    <w:p w14:paraId="14A52EE4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3" w:name="_Toc24677"/>
      <w:bookmarkStart w:id="14" w:name="_Toc120481304"/>
      <w:r>
        <w:rPr>
          <w:rFonts w:ascii="宋体" w:hAnsi="宋体"/>
          <w:bCs/>
          <w:sz w:val="28"/>
          <w:szCs w:val="28"/>
        </w:rPr>
        <w:t>(二)</w:t>
      </w:r>
      <w:bookmarkEnd w:id="13"/>
      <w:r>
        <w:rPr>
          <w:rFonts w:hint="eastAsia" w:ascii="宋体" w:hAnsi="宋体"/>
          <w:bCs/>
          <w:sz w:val="28"/>
          <w:szCs w:val="28"/>
        </w:rPr>
        <w:t>评价指标</w:t>
      </w:r>
      <w:bookmarkEnd w:id="14"/>
    </w:p>
    <w:p w14:paraId="3D96D987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5" w:name="_Toc120481305"/>
      <w:r>
        <w:rPr>
          <w:rFonts w:ascii="宋体" w:hAnsi="宋体"/>
          <w:bCs/>
          <w:sz w:val="28"/>
          <w:szCs w:val="28"/>
        </w:rPr>
        <w:t>1.</w:t>
      </w:r>
      <w:r>
        <w:rPr>
          <w:rFonts w:hint="eastAsia" w:ascii="宋体" w:hAnsi="宋体"/>
          <w:bCs/>
          <w:sz w:val="28"/>
          <w:szCs w:val="28"/>
        </w:rPr>
        <w:t>指标体系设计总体思路</w:t>
      </w:r>
      <w:bookmarkEnd w:id="15"/>
    </w:p>
    <w:p w14:paraId="50F9BB48">
      <w:pPr>
        <w:pStyle w:val="2"/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  <w:lang w:eastAsia="zh-CN"/>
        </w:rPr>
        <w:t>我局</w:t>
      </w:r>
      <w:r>
        <w:rPr>
          <w:rFonts w:hint="eastAsia" w:ascii="宋体" w:hAnsi="宋体"/>
          <w:kern w:val="0"/>
          <w:sz w:val="28"/>
          <w:szCs w:val="28"/>
        </w:rPr>
        <w:t>参照绩效评价指标体系框架设计重点项目评价指标，从通用指标、产出指标、效果指标和满意度指标4个方面进行评价。</w:t>
      </w:r>
    </w:p>
    <w:p w14:paraId="53521A19">
      <w:pPr>
        <w:pStyle w:val="2"/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通过对项目资金项目资料的收集，深入了解项目的立项背景、项目实施进展以及社会效益情况。重点关注项目开展的必要性、项目实施的规范性、资金使用的合规性和项目效果的有效性等方面，主要包括社会的需求度、项目立项的充分性、项目实施过程中的规范性、项目资金使用的合规性和项目产出所带来的社会影响。</w:t>
      </w:r>
    </w:p>
    <w:p w14:paraId="7FD2D10F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6" w:name="_Toc120481306"/>
      <w:r>
        <w:rPr>
          <w:rFonts w:ascii="宋体" w:hAnsi="宋体"/>
          <w:bCs/>
          <w:sz w:val="28"/>
          <w:szCs w:val="28"/>
        </w:rPr>
        <w:t>2.</w:t>
      </w:r>
      <w:r>
        <w:rPr>
          <w:rFonts w:hint="eastAsia" w:ascii="宋体" w:hAnsi="宋体"/>
          <w:bCs/>
          <w:sz w:val="28"/>
          <w:szCs w:val="28"/>
        </w:rPr>
        <w:t>个性指标设计思路</w:t>
      </w:r>
      <w:bookmarkEnd w:id="16"/>
    </w:p>
    <w:p w14:paraId="7A8C69C9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项目指标体系整体框架分为通用指标、产出指标、效果指标、满意度指标四大类，由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项一级指标、若干项二级指标和三级指标组成。指标数据来源于政府文件、实地调研、访谈、问卷调查等项目资料。</w:t>
      </w:r>
    </w:p>
    <w:p w14:paraId="56CD258C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7" w:name="_Toc120481307"/>
      <w:r>
        <w:rPr>
          <w:rFonts w:hint="eastAsia" w:ascii="宋体" w:hAnsi="宋体"/>
          <w:bCs/>
          <w:sz w:val="28"/>
          <w:szCs w:val="28"/>
        </w:rPr>
        <w:t>3</w:t>
      </w:r>
      <w:r>
        <w:rPr>
          <w:rFonts w:ascii="宋体" w:hAnsi="宋体"/>
          <w:bCs/>
          <w:sz w:val="28"/>
          <w:szCs w:val="28"/>
        </w:rPr>
        <w:t>.</w:t>
      </w:r>
      <w:r>
        <w:rPr>
          <w:rFonts w:hint="eastAsia" w:ascii="宋体" w:hAnsi="宋体"/>
          <w:bCs/>
          <w:sz w:val="28"/>
          <w:szCs w:val="28"/>
        </w:rPr>
        <w:t>评价指标体系</w:t>
      </w:r>
      <w:bookmarkEnd w:id="17"/>
    </w:p>
    <w:p w14:paraId="116A3012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用指标占30%权重分，主要考察项目决策、实施和预算执行有效性。产出指标占40%权重分，主要考察数量、质量、成本、完成时效。效果指标占20%权重分，主要考察项目的社会效益、经济效益、可持续影响等情况。满意度指标占10%权重分，主要考察受益人员对项目的满意度情况。</w:t>
      </w:r>
    </w:p>
    <w:p w14:paraId="74F22595">
      <w:pPr>
        <w:spacing w:line="560" w:lineRule="exact"/>
        <w:ind w:firstLine="560" w:firstLineChars="200"/>
        <w:rPr>
          <w:rFonts w:ascii="宋体" w:hAnsi="宋体"/>
          <w:b/>
          <w:bCs/>
          <w:kern w:val="0"/>
          <w:sz w:val="28"/>
          <w:szCs w:val="28"/>
          <w:lang w:val="zh-CN"/>
        </w:rPr>
      </w:pPr>
      <w:bookmarkStart w:id="18" w:name="_Toc112427888"/>
      <w:r>
        <w:rPr>
          <w:rFonts w:hint="eastAsia" w:ascii="宋体" w:hAnsi="宋体"/>
          <w:kern w:val="0"/>
          <w:sz w:val="28"/>
          <w:szCs w:val="28"/>
          <w:lang w:val="zh-CN"/>
        </w:rPr>
        <w:t>绩效评价结果采取评分与评级相结合的形式，具体分值和等级根据不同评价内容设定，体现客观公正，具有公信力。量化分值一般为百分制，绩效评价等级标准分为：</w:t>
      </w:r>
      <w:r>
        <w:rPr>
          <w:rFonts w:hint="eastAsia" w:ascii="宋体" w:hAnsi="宋体"/>
          <w:b/>
          <w:bCs/>
          <w:kern w:val="0"/>
          <w:sz w:val="28"/>
          <w:szCs w:val="28"/>
          <w:lang w:val="zh-CN"/>
        </w:rPr>
        <w:t>优（A：评价总分≥95分）、良（B:95＞评价总分≥85分）、中（C:85＞评价总分≥70分）、差（D:评价总分＜70分）4个评价等级。</w:t>
      </w:r>
      <w:bookmarkEnd w:id="18"/>
    </w:p>
    <w:p w14:paraId="125782A8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19" w:name="_Toc4741"/>
      <w:bookmarkStart w:id="20" w:name="_Toc120481308"/>
      <w:r>
        <w:rPr>
          <w:rFonts w:ascii="宋体" w:hAnsi="宋体"/>
          <w:bCs/>
          <w:sz w:val="28"/>
          <w:szCs w:val="28"/>
        </w:rPr>
        <w:t>(三)</w:t>
      </w:r>
      <w:bookmarkEnd w:id="19"/>
      <w:r>
        <w:rPr>
          <w:rFonts w:hint="eastAsia" w:ascii="宋体" w:hAnsi="宋体"/>
          <w:bCs/>
          <w:sz w:val="28"/>
          <w:szCs w:val="28"/>
        </w:rPr>
        <w:t>评价的组织实施</w:t>
      </w:r>
      <w:bookmarkEnd w:id="20"/>
    </w:p>
    <w:p w14:paraId="0F6CD64D">
      <w:pPr>
        <w:numPr>
          <w:ilvl w:val="1"/>
          <w:numId w:val="0"/>
        </w:num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绩效评价工作按照前期准备、现场评价、报告撰写三个阶段进行，对收集的相关数据资料进行整理、汇总、复核等，形成绩效评价报告。</w:t>
      </w:r>
    </w:p>
    <w:p w14:paraId="35DFA322">
      <w:pPr>
        <w:spacing w:line="560" w:lineRule="exact"/>
        <w:ind w:firstLine="560" w:firstLineChars="200"/>
        <w:outlineLvl w:val="1"/>
        <w:rPr>
          <w:rFonts w:ascii="宋体" w:hAnsi="宋体"/>
          <w:kern w:val="0"/>
          <w:sz w:val="28"/>
          <w:szCs w:val="28"/>
          <w:lang w:val="zh-CN"/>
        </w:rPr>
      </w:pPr>
      <w:bookmarkStart w:id="21" w:name="_Toc120481309"/>
      <w:r>
        <w:rPr>
          <w:rFonts w:hint="eastAsia" w:ascii="宋体" w:hAnsi="宋体"/>
          <w:kern w:val="0"/>
          <w:sz w:val="28"/>
          <w:szCs w:val="28"/>
          <w:lang w:val="zh-CN"/>
        </w:rPr>
        <w:t>1.前期准备</w:t>
      </w:r>
      <w:bookmarkEnd w:id="21"/>
    </w:p>
    <w:p w14:paraId="3F6A838F">
      <w:pPr>
        <w:pStyle w:val="2"/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组织评价组培训学习，并按照绩效评价操作规程，抽取项目评价点位，设计项目指标体系，拟定工作记录模板，设计项目数据表、问卷调查表、现场访谈问卷，制作并完善项目资料清单。</w:t>
      </w:r>
    </w:p>
    <w:p w14:paraId="64A7E816">
      <w:pPr>
        <w:spacing w:line="560" w:lineRule="exact"/>
        <w:ind w:firstLine="560" w:firstLineChars="200"/>
        <w:outlineLvl w:val="1"/>
        <w:rPr>
          <w:rFonts w:ascii="宋体" w:hAnsi="宋体"/>
          <w:kern w:val="0"/>
          <w:sz w:val="28"/>
          <w:szCs w:val="28"/>
          <w:lang w:val="zh-CN"/>
        </w:rPr>
      </w:pPr>
      <w:bookmarkStart w:id="22" w:name="_Toc120481310"/>
      <w:r>
        <w:rPr>
          <w:rFonts w:hint="eastAsia" w:ascii="宋体" w:hAnsi="宋体"/>
          <w:kern w:val="0"/>
          <w:sz w:val="28"/>
          <w:szCs w:val="28"/>
          <w:lang w:val="zh-CN"/>
        </w:rPr>
        <w:t>2.</w:t>
      </w:r>
      <w:bookmarkStart w:id="23" w:name="_Toc16414"/>
      <w:r>
        <w:rPr>
          <w:rFonts w:hint="eastAsia" w:ascii="宋体" w:hAnsi="宋体"/>
          <w:kern w:val="0"/>
          <w:sz w:val="28"/>
          <w:szCs w:val="28"/>
          <w:lang w:val="zh-CN"/>
        </w:rPr>
        <w:t>现场评价</w:t>
      </w:r>
      <w:bookmarkEnd w:id="22"/>
    </w:p>
    <w:p w14:paraId="22D22CCF">
      <w:pPr>
        <w:pStyle w:val="2"/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召开绩效评价工作见面会，初步了解项目情况，审查项目单位提供的重点项目相关资料，现场勘查评价项目，并对重点项目进行问卷调查，结合现场勘查情况、记载情况形成工作记录，同时，完成项目数据表的审核，根据项目单位签字确认的工作记录、项目数据表和收集整理的相关资料，完成项目单位的绩效评分。</w:t>
      </w:r>
    </w:p>
    <w:p w14:paraId="3E7ABD87">
      <w:pPr>
        <w:spacing w:line="560" w:lineRule="exact"/>
        <w:ind w:firstLine="560" w:firstLineChars="200"/>
        <w:outlineLvl w:val="1"/>
        <w:rPr>
          <w:rFonts w:ascii="宋体" w:hAnsi="宋体"/>
          <w:kern w:val="0"/>
          <w:sz w:val="28"/>
          <w:szCs w:val="28"/>
          <w:lang w:val="zh-CN"/>
        </w:rPr>
      </w:pPr>
      <w:bookmarkStart w:id="24" w:name="_Toc120481311"/>
      <w:r>
        <w:rPr>
          <w:rFonts w:hint="eastAsia" w:ascii="宋体" w:hAnsi="宋体"/>
          <w:kern w:val="0"/>
          <w:sz w:val="28"/>
          <w:szCs w:val="28"/>
          <w:lang w:val="zh-CN"/>
        </w:rPr>
        <w:t>3.报告撰写</w:t>
      </w:r>
      <w:bookmarkEnd w:id="24"/>
    </w:p>
    <w:p w14:paraId="4E90EABA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hint="eastAsia" w:ascii="宋体" w:hAnsi="宋体"/>
          <w:kern w:val="0"/>
          <w:sz w:val="28"/>
          <w:szCs w:val="28"/>
          <w:lang w:val="zh-CN"/>
        </w:rPr>
        <w:t>对抽选项目单位的政策文件、项目数据表、工作记录、问卷调查表、绩效评价打分表等进行整理汇总；根据整理汇总结果，结合项目单位工作记录、项目数据表等资料，撰写报告初稿；通过反复审阅、复核报告初稿，形成正式报告。</w:t>
      </w:r>
    </w:p>
    <w:p w14:paraId="6F443560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25" w:name="_Toc120481312"/>
      <w:r>
        <w:rPr>
          <w:rFonts w:ascii="宋体" w:hAnsi="宋体"/>
          <w:bCs/>
          <w:sz w:val="28"/>
          <w:szCs w:val="28"/>
        </w:rPr>
        <w:t>(</w:t>
      </w:r>
      <w:r>
        <w:rPr>
          <w:rFonts w:hint="eastAsia" w:ascii="宋体" w:hAnsi="宋体"/>
          <w:bCs/>
          <w:sz w:val="28"/>
          <w:szCs w:val="28"/>
        </w:rPr>
        <w:t>四</w:t>
      </w:r>
      <w:r>
        <w:rPr>
          <w:rFonts w:ascii="宋体" w:hAnsi="宋体"/>
          <w:bCs/>
          <w:sz w:val="28"/>
          <w:szCs w:val="28"/>
        </w:rPr>
        <w:t>)</w:t>
      </w:r>
      <w:bookmarkStart w:id="26" w:name="_Hlk112432580"/>
      <w:r>
        <w:rPr>
          <w:rFonts w:hint="eastAsia" w:ascii="宋体" w:hAnsi="宋体"/>
          <w:bCs/>
          <w:sz w:val="28"/>
          <w:szCs w:val="28"/>
        </w:rPr>
        <w:t>绩效评价框架</w:t>
      </w:r>
      <w:bookmarkEnd w:id="25"/>
      <w:bookmarkEnd w:id="26"/>
    </w:p>
    <w:p w14:paraId="3927F54A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27" w:name="_Toc120481313"/>
      <w:bookmarkStart w:id="28" w:name="_Hlk112432596"/>
      <w:r>
        <w:rPr>
          <w:rFonts w:hint="eastAsia" w:ascii="宋体" w:hAnsi="宋体"/>
          <w:bCs/>
          <w:sz w:val="28"/>
          <w:szCs w:val="28"/>
        </w:rPr>
        <w:t>1.评价原则</w:t>
      </w:r>
      <w:bookmarkEnd w:id="27"/>
    </w:p>
    <w:bookmarkEnd w:id="28"/>
    <w:p w14:paraId="0D3A67C3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29" w:name="_Hlk112432618"/>
      <w:bookmarkStart w:id="30" w:name="_Toc112427863"/>
      <w:r>
        <w:rPr>
          <w:rFonts w:hint="eastAsia" w:ascii="宋体" w:hAnsi="宋体"/>
          <w:kern w:val="0"/>
          <w:sz w:val="28"/>
          <w:szCs w:val="28"/>
          <w:lang w:val="zh-CN"/>
        </w:rPr>
        <w:t>（1）科学规范原则。绩效评价注重财政支出的经济性、效率性和有效性，严格执行规定的程序，采用定量与定性分析相结合的方法</w:t>
      </w:r>
      <w:bookmarkEnd w:id="29"/>
      <w:r>
        <w:rPr>
          <w:rFonts w:hint="eastAsia" w:ascii="宋体" w:hAnsi="宋体"/>
          <w:kern w:val="0"/>
          <w:sz w:val="28"/>
          <w:szCs w:val="28"/>
          <w:lang w:val="zh-CN"/>
        </w:rPr>
        <w:t>。</w:t>
      </w:r>
      <w:bookmarkEnd w:id="30"/>
    </w:p>
    <w:p w14:paraId="7F01B319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31" w:name="_Hlk112432655"/>
      <w:bookmarkStart w:id="32" w:name="_Toc112427864"/>
      <w:r>
        <w:rPr>
          <w:rFonts w:hint="eastAsia" w:ascii="宋体" w:hAnsi="宋体"/>
          <w:kern w:val="0"/>
          <w:sz w:val="28"/>
          <w:szCs w:val="28"/>
          <w:lang w:val="zh-CN"/>
        </w:rPr>
        <w:t>（2）公正公开原则。绩效评价应当客观、公正、标准统一、资料可靠、依法公开并接受监督</w:t>
      </w:r>
      <w:bookmarkEnd w:id="31"/>
      <w:r>
        <w:rPr>
          <w:rFonts w:hint="eastAsia" w:ascii="宋体" w:hAnsi="宋体"/>
          <w:kern w:val="0"/>
          <w:sz w:val="28"/>
          <w:szCs w:val="28"/>
          <w:lang w:val="zh-CN"/>
        </w:rPr>
        <w:t>。</w:t>
      </w:r>
      <w:bookmarkEnd w:id="32"/>
    </w:p>
    <w:p w14:paraId="010BD552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33" w:name="_Toc112427865"/>
      <w:r>
        <w:rPr>
          <w:rFonts w:hint="eastAsia" w:ascii="宋体" w:hAnsi="宋体"/>
          <w:kern w:val="0"/>
          <w:sz w:val="28"/>
          <w:szCs w:val="28"/>
          <w:lang w:val="zh-CN"/>
        </w:rPr>
        <w:t>（3）分级分类原则。绩效评价根据评价对象的特点分类组织实施。</w:t>
      </w:r>
      <w:bookmarkEnd w:id="33"/>
    </w:p>
    <w:p w14:paraId="2EBFEAD9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34" w:name="_Hlk112432763"/>
      <w:bookmarkStart w:id="35" w:name="_Toc112427866"/>
      <w:r>
        <w:rPr>
          <w:rFonts w:hint="eastAsia" w:ascii="宋体" w:hAnsi="宋体"/>
          <w:kern w:val="0"/>
          <w:sz w:val="28"/>
          <w:szCs w:val="28"/>
          <w:lang w:val="zh-CN"/>
        </w:rPr>
        <w:t>（4）绩效相关原则。绩效评价应当针对具体支出及其产出绩效进行，评价结构应清晰反映支出和产出绩效之间的紧密对应关系</w:t>
      </w:r>
      <w:bookmarkEnd w:id="34"/>
      <w:r>
        <w:rPr>
          <w:rFonts w:hint="eastAsia" w:ascii="宋体" w:hAnsi="宋体"/>
          <w:kern w:val="0"/>
          <w:sz w:val="28"/>
          <w:szCs w:val="28"/>
          <w:lang w:val="zh-CN"/>
        </w:rPr>
        <w:t>。</w:t>
      </w:r>
      <w:bookmarkEnd w:id="35"/>
    </w:p>
    <w:p w14:paraId="56C828D1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36" w:name="_Toc120481314"/>
      <w:r>
        <w:rPr>
          <w:rFonts w:hint="eastAsia" w:ascii="宋体" w:hAnsi="宋体"/>
          <w:bCs/>
          <w:sz w:val="28"/>
          <w:szCs w:val="28"/>
        </w:rPr>
        <w:t>2.</w:t>
      </w:r>
      <w:bookmarkStart w:id="37" w:name="_Hlk112432820"/>
      <w:r>
        <w:rPr>
          <w:rFonts w:hint="eastAsia" w:ascii="宋体" w:hAnsi="宋体"/>
          <w:bCs/>
          <w:sz w:val="28"/>
          <w:szCs w:val="28"/>
        </w:rPr>
        <w:t>评价依据</w:t>
      </w:r>
      <w:bookmarkEnd w:id="36"/>
      <w:bookmarkEnd w:id="37"/>
    </w:p>
    <w:p w14:paraId="2DF7CEBC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38" w:name="_Toc112427868"/>
      <w:r>
        <w:rPr>
          <w:rFonts w:hint="eastAsia" w:ascii="宋体" w:hAnsi="宋体"/>
          <w:kern w:val="0"/>
          <w:sz w:val="28"/>
          <w:szCs w:val="28"/>
          <w:lang w:val="zh-CN"/>
        </w:rPr>
        <w:t>（1）项目行为依据</w:t>
      </w:r>
      <w:bookmarkEnd w:id="38"/>
    </w:p>
    <w:p w14:paraId="02517A25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39" w:name="_Hlk112432878"/>
      <w:bookmarkStart w:id="40" w:name="_Toc112427869"/>
      <w:r>
        <w:rPr>
          <w:rFonts w:hint="eastAsia" w:ascii="宋体" w:hAnsi="宋体"/>
          <w:kern w:val="0"/>
          <w:sz w:val="28"/>
          <w:szCs w:val="28"/>
          <w:lang w:val="zh-CN"/>
        </w:rPr>
        <w:t>林芝市财政局与本公司签订的《绩效评价服务采购合同》</w:t>
      </w:r>
      <w:bookmarkEnd w:id="39"/>
      <w:r>
        <w:rPr>
          <w:rFonts w:hint="eastAsia" w:ascii="宋体" w:hAnsi="宋体"/>
          <w:kern w:val="0"/>
          <w:sz w:val="28"/>
          <w:szCs w:val="28"/>
          <w:lang w:val="zh-CN"/>
        </w:rPr>
        <w:t>。</w:t>
      </w:r>
      <w:bookmarkEnd w:id="40"/>
    </w:p>
    <w:p w14:paraId="695F4A7B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1" w:name="_Toc112427870"/>
      <w:r>
        <w:rPr>
          <w:rFonts w:hint="eastAsia" w:ascii="宋体" w:hAnsi="宋体"/>
          <w:kern w:val="0"/>
          <w:sz w:val="28"/>
          <w:szCs w:val="28"/>
          <w:lang w:val="zh-CN"/>
        </w:rPr>
        <w:t>（2）</w:t>
      </w:r>
      <w:bookmarkStart w:id="42" w:name="_Hlk112432942"/>
      <w:r>
        <w:rPr>
          <w:rFonts w:hint="eastAsia" w:ascii="宋体" w:hAnsi="宋体"/>
          <w:kern w:val="0"/>
          <w:sz w:val="28"/>
          <w:szCs w:val="28"/>
          <w:lang w:val="zh-CN"/>
        </w:rPr>
        <w:t>法律、法规依据</w:t>
      </w:r>
      <w:bookmarkEnd w:id="41"/>
      <w:bookmarkEnd w:id="42"/>
    </w:p>
    <w:p w14:paraId="3723F911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3" w:name="_Hlk112433116"/>
      <w:bookmarkStart w:id="44" w:name="_Toc112427871"/>
      <w:r>
        <w:rPr>
          <w:rFonts w:hint="eastAsia" w:ascii="宋体" w:hAnsi="宋体"/>
          <w:kern w:val="0"/>
          <w:sz w:val="28"/>
          <w:szCs w:val="28"/>
          <w:lang w:val="zh-CN"/>
        </w:rPr>
        <w:t>①《中华人民共和国预算法》</w:t>
      </w:r>
      <w:bookmarkEnd w:id="43"/>
      <w:r>
        <w:rPr>
          <w:rFonts w:hint="eastAsia" w:ascii="宋体" w:hAnsi="宋体"/>
          <w:kern w:val="0"/>
          <w:sz w:val="28"/>
          <w:szCs w:val="28"/>
          <w:lang w:val="zh-CN"/>
        </w:rPr>
        <w:t>；</w:t>
      </w:r>
      <w:bookmarkEnd w:id="44"/>
    </w:p>
    <w:p w14:paraId="38FC6453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5" w:name="_Toc112427872"/>
      <w:r>
        <w:rPr>
          <w:rFonts w:hint="eastAsia" w:ascii="宋体" w:hAnsi="宋体"/>
          <w:kern w:val="0"/>
          <w:sz w:val="28"/>
          <w:szCs w:val="28"/>
          <w:lang w:val="zh-CN"/>
        </w:rPr>
        <w:t>②《政府会计制度》及《政府会计准则》；</w:t>
      </w:r>
      <w:bookmarkEnd w:id="45"/>
    </w:p>
    <w:p w14:paraId="1FB0CE01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6" w:name="_Toc112427873"/>
      <w:r>
        <w:rPr>
          <w:rFonts w:hint="eastAsia" w:ascii="宋体" w:hAnsi="宋体"/>
          <w:kern w:val="0"/>
          <w:sz w:val="28"/>
          <w:szCs w:val="28"/>
          <w:lang w:val="zh-CN"/>
        </w:rPr>
        <w:t>③财政部《项目支出绩效评价管理办法》（财预[2020]10号）；</w:t>
      </w:r>
      <w:bookmarkEnd w:id="46"/>
    </w:p>
    <w:p w14:paraId="1C58BACC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7" w:name="_Toc112427874"/>
      <w:r>
        <w:rPr>
          <w:rFonts w:hint="eastAsia" w:ascii="宋体" w:hAnsi="宋体"/>
          <w:kern w:val="0"/>
          <w:sz w:val="28"/>
          <w:szCs w:val="28"/>
          <w:lang w:val="zh-CN"/>
        </w:rPr>
        <w:t>④《关于全面实施预算绩效管理的实施意见》</w:t>
      </w:r>
      <w:r>
        <w:rPr>
          <w:rFonts w:ascii="宋体" w:hAnsi="宋体"/>
          <w:kern w:val="0"/>
          <w:sz w:val="28"/>
          <w:szCs w:val="28"/>
          <w:lang w:val="zh-CN"/>
        </w:rPr>
        <w:t>(</w:t>
      </w:r>
      <w:r>
        <w:rPr>
          <w:rFonts w:hint="eastAsia" w:ascii="宋体" w:hAnsi="宋体"/>
          <w:kern w:val="0"/>
          <w:sz w:val="28"/>
          <w:szCs w:val="28"/>
          <w:lang w:val="zh-CN"/>
        </w:rPr>
        <w:t>藏党发[2020]7号</w:t>
      </w:r>
      <w:r>
        <w:rPr>
          <w:rFonts w:ascii="宋体" w:hAnsi="宋体"/>
          <w:kern w:val="0"/>
          <w:sz w:val="28"/>
          <w:szCs w:val="28"/>
          <w:lang w:val="zh-CN"/>
        </w:rPr>
        <w:t>)</w:t>
      </w:r>
      <w:r>
        <w:rPr>
          <w:rFonts w:hint="eastAsia" w:ascii="宋体" w:hAnsi="宋体"/>
          <w:kern w:val="0"/>
          <w:sz w:val="28"/>
          <w:szCs w:val="28"/>
          <w:lang w:val="zh-CN"/>
        </w:rPr>
        <w:t>；</w:t>
      </w:r>
      <w:bookmarkEnd w:id="47"/>
      <w:r>
        <w:rPr>
          <w:rFonts w:ascii="宋体" w:hAnsi="宋体"/>
          <w:kern w:val="0"/>
          <w:sz w:val="28"/>
          <w:szCs w:val="28"/>
          <w:lang w:val="zh-CN"/>
        </w:rPr>
        <w:t xml:space="preserve"> </w:t>
      </w:r>
    </w:p>
    <w:p w14:paraId="545A7DD5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8" w:name="_Toc112427877"/>
      <w:r>
        <w:rPr>
          <w:rFonts w:hint="eastAsia" w:ascii="宋体" w:hAnsi="宋体"/>
          <w:kern w:val="0"/>
          <w:sz w:val="28"/>
          <w:szCs w:val="28"/>
          <w:lang w:val="zh-CN"/>
        </w:rPr>
        <w:t>（3）项目财务资料依据</w:t>
      </w:r>
      <w:bookmarkEnd w:id="48"/>
    </w:p>
    <w:p w14:paraId="4050D31C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49" w:name="_Toc112427878"/>
      <w:r>
        <w:rPr>
          <w:rFonts w:hint="eastAsia" w:ascii="宋体" w:hAnsi="宋体"/>
          <w:kern w:val="0"/>
          <w:sz w:val="28"/>
          <w:szCs w:val="28"/>
          <w:lang w:val="zh-CN"/>
        </w:rPr>
        <w:t>①会计凭证</w:t>
      </w:r>
      <w:bookmarkEnd w:id="49"/>
    </w:p>
    <w:p w14:paraId="63EAAF9C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0" w:name="_Toc112427879"/>
      <w:r>
        <w:rPr>
          <w:rFonts w:hint="eastAsia" w:ascii="宋体" w:hAnsi="宋体"/>
          <w:kern w:val="0"/>
          <w:sz w:val="28"/>
          <w:szCs w:val="28"/>
          <w:lang w:val="zh-CN"/>
        </w:rPr>
        <w:t>②202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kern w:val="0"/>
          <w:sz w:val="28"/>
          <w:szCs w:val="28"/>
          <w:lang w:val="zh-CN"/>
        </w:rPr>
        <w:t>年部门预决算表及辅助明细账</w:t>
      </w:r>
      <w:bookmarkEnd w:id="50"/>
    </w:p>
    <w:p w14:paraId="266EECCB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1" w:name="_Toc112427880"/>
      <w:r>
        <w:rPr>
          <w:rFonts w:hint="eastAsia" w:ascii="宋体" w:hAnsi="宋体"/>
          <w:kern w:val="0"/>
          <w:sz w:val="28"/>
          <w:szCs w:val="28"/>
          <w:lang w:val="zh-CN"/>
        </w:rPr>
        <w:t>③单位财务管理制度</w:t>
      </w:r>
      <w:bookmarkEnd w:id="51"/>
    </w:p>
    <w:p w14:paraId="1D46C2AC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2" w:name="_Toc112427881"/>
      <w:r>
        <w:rPr>
          <w:rFonts w:hint="eastAsia" w:ascii="宋体" w:hAnsi="宋体"/>
          <w:kern w:val="0"/>
          <w:sz w:val="28"/>
          <w:szCs w:val="28"/>
          <w:lang w:val="zh-CN"/>
        </w:rPr>
        <w:t>（4）基础数据、资料依据：</w:t>
      </w:r>
      <w:bookmarkEnd w:id="52"/>
    </w:p>
    <w:p w14:paraId="5EADB4F1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3" w:name="_Toc112427883"/>
      <w:r>
        <w:rPr>
          <w:rFonts w:hint="default" w:ascii="Calibri" w:hAnsi="Calibri" w:cs="Calibri"/>
          <w:kern w:val="0"/>
          <w:sz w:val="28"/>
          <w:szCs w:val="28"/>
          <w:lang w:val="zh-CN"/>
        </w:rPr>
        <w:t>①</w:t>
      </w:r>
      <w:r>
        <w:rPr>
          <w:rFonts w:hint="eastAsia" w:ascii="宋体" w:hAnsi="宋体"/>
          <w:kern w:val="0"/>
          <w:sz w:val="28"/>
          <w:szCs w:val="28"/>
          <w:lang w:val="zh-CN"/>
        </w:rPr>
        <w:t>202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kern w:val="0"/>
          <w:sz w:val="28"/>
          <w:szCs w:val="28"/>
          <w:lang w:val="zh-CN"/>
        </w:rPr>
        <w:t>年度部门工作计划、任务</w:t>
      </w:r>
      <w:bookmarkEnd w:id="53"/>
    </w:p>
    <w:p w14:paraId="77A20549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4" w:name="_Toc112427884"/>
      <w:r>
        <w:rPr>
          <w:rFonts w:hint="default" w:ascii="Calibri" w:hAnsi="Calibri" w:cs="Calibri"/>
          <w:kern w:val="0"/>
          <w:sz w:val="28"/>
          <w:szCs w:val="28"/>
          <w:lang w:val="zh-CN"/>
        </w:rPr>
        <w:t>②</w:t>
      </w:r>
      <w:r>
        <w:rPr>
          <w:rFonts w:hint="eastAsia" w:ascii="宋体" w:hAnsi="宋体"/>
          <w:kern w:val="0"/>
          <w:sz w:val="28"/>
          <w:szCs w:val="28"/>
          <w:lang w:val="zh-CN"/>
        </w:rPr>
        <w:t>其他相关资料。</w:t>
      </w:r>
      <w:bookmarkEnd w:id="54"/>
    </w:p>
    <w:p w14:paraId="0E25B7F6">
      <w:pPr>
        <w:spacing w:line="560" w:lineRule="exact"/>
        <w:ind w:firstLine="280" w:firstLineChars="100"/>
        <w:outlineLvl w:val="1"/>
        <w:rPr>
          <w:rFonts w:ascii="宋体" w:hAnsi="宋体"/>
          <w:bCs/>
          <w:sz w:val="28"/>
          <w:szCs w:val="28"/>
        </w:rPr>
      </w:pPr>
      <w:bookmarkStart w:id="55" w:name="_Toc120481315"/>
      <w:r>
        <w:rPr>
          <w:rFonts w:ascii="宋体" w:hAnsi="宋体"/>
          <w:bCs/>
          <w:sz w:val="28"/>
          <w:szCs w:val="28"/>
        </w:rPr>
        <w:t>(</w:t>
      </w:r>
      <w:r>
        <w:rPr>
          <w:rFonts w:hint="eastAsia" w:ascii="宋体" w:hAnsi="宋体"/>
          <w:bCs/>
          <w:sz w:val="28"/>
          <w:szCs w:val="28"/>
        </w:rPr>
        <w:t>五</w:t>
      </w:r>
      <w:r>
        <w:rPr>
          <w:rFonts w:ascii="宋体" w:hAnsi="宋体"/>
          <w:bCs/>
          <w:sz w:val="28"/>
          <w:szCs w:val="28"/>
        </w:rPr>
        <w:t>)</w:t>
      </w:r>
      <w:r>
        <w:rPr>
          <w:rFonts w:hint="eastAsia" w:ascii="宋体" w:hAnsi="宋体"/>
          <w:bCs/>
          <w:sz w:val="28"/>
          <w:szCs w:val="28"/>
        </w:rPr>
        <w:t>具体评价范围</w:t>
      </w:r>
      <w:bookmarkEnd w:id="55"/>
    </w:p>
    <w:p w14:paraId="07CB0DF7">
      <w:pPr>
        <w:spacing w:line="360" w:lineRule="auto"/>
        <w:ind w:firstLine="560" w:firstLineChars="200"/>
        <w:jc w:val="left"/>
        <w:rPr>
          <w:rFonts w:hint="eastAsia" w:ascii="宋体" w:hAnsi="宋体"/>
          <w:bCs/>
          <w:sz w:val="28"/>
          <w:szCs w:val="28"/>
        </w:rPr>
      </w:pPr>
    </w:p>
    <w:p w14:paraId="3182DADC">
      <w:pPr>
        <w:spacing w:line="360" w:lineRule="auto"/>
        <w:ind w:firstLine="560" w:firstLineChars="200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此次</w:t>
      </w:r>
      <w:r>
        <w:rPr>
          <w:rFonts w:hint="eastAsia" w:ascii="宋体" w:hAnsi="宋体"/>
          <w:bCs/>
          <w:sz w:val="28"/>
          <w:szCs w:val="28"/>
          <w:lang w:eastAsia="zh-CN"/>
        </w:rPr>
        <w:t>自评</w:t>
      </w:r>
      <w:r>
        <w:rPr>
          <w:rFonts w:hint="eastAsia" w:ascii="宋体" w:hAnsi="宋体"/>
          <w:bCs/>
          <w:sz w:val="28"/>
          <w:szCs w:val="28"/>
        </w:rPr>
        <w:t>范围为市公安局预算申报的市本级202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Cs/>
          <w:sz w:val="28"/>
          <w:szCs w:val="28"/>
        </w:rPr>
        <w:t>年度项目支出绩效评价。市公安局202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Cs/>
          <w:sz w:val="28"/>
          <w:szCs w:val="28"/>
        </w:rPr>
        <w:t>年度申报的项目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53</w:t>
      </w:r>
      <w:r>
        <w:rPr>
          <w:rFonts w:hint="eastAsia" w:ascii="宋体" w:hAnsi="宋体"/>
          <w:bCs/>
          <w:sz w:val="28"/>
          <w:szCs w:val="28"/>
        </w:rPr>
        <w:t>个</w:t>
      </w:r>
      <w:r>
        <w:rPr>
          <w:rFonts w:hint="eastAsia" w:ascii="宋体" w:hAnsi="宋体"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Cs/>
          <w:sz w:val="28"/>
          <w:szCs w:val="28"/>
        </w:rPr>
        <w:t>资金总量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11187.31万</w:t>
      </w:r>
      <w:r>
        <w:rPr>
          <w:rFonts w:hint="eastAsia" w:ascii="宋体" w:hAnsi="宋体"/>
          <w:bCs/>
          <w:sz w:val="28"/>
          <w:szCs w:val="28"/>
        </w:rPr>
        <w:t>元（其中涉密资金总量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*万</w:t>
      </w:r>
      <w:r>
        <w:rPr>
          <w:rFonts w:hint="eastAsia" w:ascii="宋体" w:hAnsi="宋体"/>
          <w:bCs/>
          <w:sz w:val="28"/>
          <w:szCs w:val="28"/>
        </w:rPr>
        <w:t>元）</w:t>
      </w:r>
      <w:r>
        <w:rPr>
          <w:rFonts w:hint="eastAsia" w:ascii="宋体" w:hAnsi="宋体"/>
          <w:bCs/>
          <w:sz w:val="28"/>
          <w:szCs w:val="28"/>
          <w:lang w:eastAsia="zh-CN"/>
        </w:rPr>
        <w:t>。</w:t>
      </w:r>
      <w:r>
        <w:rPr>
          <w:rFonts w:hint="eastAsia" w:ascii="宋体" w:hAnsi="宋体"/>
          <w:bCs/>
          <w:sz w:val="28"/>
          <w:szCs w:val="28"/>
        </w:rPr>
        <w:t>本次评价的项目详见下表：</w:t>
      </w:r>
    </w:p>
    <w:p w14:paraId="59D072AE">
      <w:pPr>
        <w:spacing w:line="560" w:lineRule="exact"/>
        <w:ind w:firstLine="560" w:firstLineChars="200"/>
        <w:jc w:val="center"/>
        <w:rPr>
          <w:rFonts w:hint="eastAsia" w:ascii="宋体" w:hAnsi="宋体"/>
          <w:bCs/>
          <w:sz w:val="28"/>
          <w:szCs w:val="28"/>
        </w:rPr>
      </w:pPr>
    </w:p>
    <w:p w14:paraId="38D4A8BA">
      <w:pPr>
        <w:spacing w:line="560" w:lineRule="exact"/>
        <w:ind w:firstLine="560" w:firstLineChars="200"/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市公安局</w:t>
      </w:r>
      <w:r>
        <w:rPr>
          <w:rFonts w:hint="eastAsia" w:ascii="宋体" w:hAnsi="宋体"/>
          <w:bCs/>
          <w:sz w:val="28"/>
          <w:szCs w:val="28"/>
          <w:lang w:eastAsia="zh-CN"/>
        </w:rPr>
        <w:t>项目</w:t>
      </w:r>
      <w:r>
        <w:rPr>
          <w:rFonts w:hint="eastAsia" w:ascii="宋体" w:hAnsi="宋体"/>
          <w:bCs/>
          <w:sz w:val="28"/>
          <w:szCs w:val="28"/>
        </w:rPr>
        <w:t>支出明细表</w:t>
      </w:r>
    </w:p>
    <w:p w14:paraId="4F28BC06">
      <w:pPr>
        <w:spacing w:line="560" w:lineRule="exact"/>
        <w:ind w:firstLine="40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金额单位：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</w:t>
      </w:r>
      <w:r>
        <w:rPr>
          <w:rFonts w:hint="eastAsia" w:ascii="仿宋" w:hAnsi="仿宋" w:eastAsia="仿宋" w:cs="仿宋"/>
          <w:sz w:val="28"/>
          <w:szCs w:val="28"/>
        </w:rPr>
        <w:t>元</w:t>
      </w:r>
    </w:p>
    <w:tbl>
      <w:tblPr>
        <w:tblStyle w:val="15"/>
        <w:tblW w:w="5187" w:type="pct"/>
        <w:tblInd w:w="-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2610"/>
        <w:gridCol w:w="1567"/>
        <w:gridCol w:w="1565"/>
        <w:gridCol w:w="997"/>
        <w:gridCol w:w="1155"/>
      </w:tblGrid>
      <w:tr w14:paraId="4683A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4CED70">
            <w:pPr>
              <w:widowControl/>
              <w:ind w:firstLine="220" w:firstLineChars="100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818A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9AE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预算资金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AF41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资金支付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A32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支付率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9E2D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5B5C2C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CBF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1E2C67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雪亮工程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A3180">
            <w:pPr>
              <w:widowControl/>
              <w:jc w:val="right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551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F467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349.00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22CF9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63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9734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68ED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F00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0B391D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卫星通信系统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2D24D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443.83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B53FFB">
            <w:pPr>
              <w:widowControl/>
              <w:jc w:val="right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510F2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7D4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8274C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D72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D9C9E8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特警营区建设维修项目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5948E">
            <w:pPr>
              <w:widowControl/>
              <w:jc w:val="right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52.49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FFDAF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52.44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840D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211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578A8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AEE0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27A1284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培训费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9AC2F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38.58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046E3B">
            <w:pPr>
              <w:widowControl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424D4">
            <w:pPr>
              <w:widowControl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3CDF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446C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BA1E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C22964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警务技能训练基地工程项目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22023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3411.39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765BD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2605.89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B25A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76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08F2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C6AD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B89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1A46A3F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交警支队车管所建设项目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4D9D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3017.72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70B2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2285.34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A8DD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76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893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CC08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41F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E303D41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公安信息网网络安全动态感知系统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3C726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383.68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6E742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A8275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574B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E522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379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3F5E74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2023年警务实战训练场馆升级改造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0AD43C">
            <w:pPr>
              <w:widowControl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89.66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69CB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89.6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BC87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CC2CB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47CF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8AED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4B6901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扫黑专项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5053C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94.83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DD09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21.21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3BFD9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22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95EB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B718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3411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1D7F3C1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市直单位伙食费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A10F6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11.52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003CF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11.52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C91D2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C9E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7BB0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679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6A77D11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1.17救灾经费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11250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10.18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51B9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0.61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3575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F41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8643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F21B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9DD6E0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山地自行车联赛林芝站安保经费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3CF9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3.6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E2DED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3.6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D5D0A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E05B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0E82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F1F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1651C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三大节日慰问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F7FF3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10.2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46C4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10.2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5A01B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1B2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E370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A7A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 w14:paraId="5BAE9E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辅警经费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1B6A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366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E217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273.6</w:t>
            </w:r>
            <w:r>
              <w:rPr>
                <w:rFonts w:ascii="宋体" w:hAnsi="宋体"/>
                <w:sz w:val="22"/>
                <w:szCs w:val="22"/>
              </w:rPr>
              <w:t xml:space="preserve">   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B40AD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75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810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3D593A34"/>
    <w:tbl>
      <w:tblPr>
        <w:tblStyle w:val="15"/>
        <w:tblW w:w="5187" w:type="pct"/>
        <w:tblInd w:w="-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3"/>
        <w:gridCol w:w="2591"/>
        <w:gridCol w:w="1567"/>
        <w:gridCol w:w="1588"/>
        <w:gridCol w:w="974"/>
        <w:gridCol w:w="1155"/>
      </w:tblGrid>
      <w:tr w14:paraId="24839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4878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0F7D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人才开发专项资金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4DE9A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12</w:t>
            </w:r>
            <w:r>
              <w:rPr>
                <w:rFonts w:ascii="宋体" w:hAnsi="宋体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B3919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12</w:t>
            </w:r>
            <w:r>
              <w:rPr>
                <w:rFonts w:ascii="宋体" w:hAnsi="宋体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29821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55A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9C05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A6AF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53FCFEC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情报奖励金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BA0D8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*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7D1B03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*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9856C">
            <w:pPr>
              <w:widowControl/>
              <w:jc w:val="right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*</w:t>
            </w:r>
            <w:bookmarkStart w:id="65" w:name="_GoBack"/>
            <w:bookmarkEnd w:id="65"/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ADD5E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0BC4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D69C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512535D">
            <w:pPr>
              <w:widowControl/>
              <w:jc w:val="left"/>
              <w:textAlignment w:val="center"/>
              <w:rPr>
                <w:rFonts w:ascii="Arial Narrow" w:hAnsi="Arial Narrow" w:cs="宋体"/>
                <w:color w:val="FF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抗疫工作人员补助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D19BC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272.69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28A57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272.69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072FE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D12CA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16E12C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D41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BAF223B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FF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抗疫经费本级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EAA7D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18.71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B4680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18.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1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C0C3D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98</w:t>
            </w:r>
            <w:r>
              <w:rPr>
                <w:rFonts w:ascii="宋体" w:hAnsi="宋体"/>
                <w:sz w:val="22"/>
                <w:szCs w:val="22"/>
              </w:rPr>
              <w:t>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FC7F2D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6458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9EE8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E580D59">
            <w:pPr>
              <w:widowControl/>
              <w:jc w:val="lef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特警生活补助（自治区）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22B0A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32.79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C28E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20.38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A9782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62%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F50B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E095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A4ECB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CCA4362">
            <w:pPr>
              <w:widowControl/>
              <w:jc w:val="lef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林芝市公安局党建经费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257D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  <w:t>149.32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8435A5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67.55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903B5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45%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2C172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E3CA4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C51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51086B3">
            <w:pPr>
              <w:widowControl/>
              <w:jc w:val="lef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指挥中心各应用系统驻场运维服务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075E3D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23.1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0D64A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6.67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ECF7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29%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482E4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D526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D36D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3AFB7E8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在押人员工作经费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BE494E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98.99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E652AD">
            <w:pPr>
              <w:widowControl/>
              <w:jc w:val="right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57.82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3D387D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58%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0B34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7FCBD3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5082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E595525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动警务终端租赁费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919F6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112.66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9B56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81.04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784E03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72%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407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02E7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E70D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D8B924D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维稳指挥部专项经费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695AFF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039A3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28.23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0F0E9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94%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064A6D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42EA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09F4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90BBD64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维稳指挥部视频会议系统链路租赁费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7C55A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25.2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A34079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18.9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436E7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75%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2AF7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058B7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F9554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63A026C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团体人身意外伤害工作经费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F6232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41.94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94112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39.65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5A87C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95%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B792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1D28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AC1F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573BDF7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同频同播、网安、治安和五科光纤资源链路租赁费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8BF41F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22.14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F7360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22.13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D28B2C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2B0488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6AE53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BCA3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B91EFD2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特警支队靶场维护及耗材工作经费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06E9F7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E6855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12.97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3881D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F96E4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EC43D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D6E6E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FA87413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特警生活补助（本级配套）工作经费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82D7E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29.52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41A3D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29.52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E8665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EFD4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11F6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80D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D543B7">
            <w:pPr>
              <w:widowControl/>
              <w:jc w:val="left"/>
              <w:textAlignment w:val="center"/>
              <w:rPr>
                <w:rFonts w:hint="default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社区戒毒康复工作经费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269E62">
            <w:pPr>
              <w:widowControl/>
              <w:jc w:val="right"/>
              <w:textAlignment w:val="center"/>
              <w:rPr>
                <w:rFonts w:hint="default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EF9AE">
            <w:pPr>
              <w:widowControl/>
              <w:jc w:val="right"/>
              <w:textAlignment w:val="center"/>
              <w:rPr>
                <w:rFonts w:hint="default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3.82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FE912">
            <w:pPr>
              <w:widowControl/>
              <w:jc w:val="right"/>
              <w:textAlignment w:val="center"/>
              <w:rPr>
                <w:rFonts w:hint="default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64%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257BD">
            <w:pPr>
              <w:jc w:val="center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69C2B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C71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F8EEB5A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三级网升级扩容至300兆光纤链路租赁费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943C99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109.74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8DC10F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108.39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02D89C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99%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1CF4D0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DBCF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D3B50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39D4963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情报信息综合应用平台维保经费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4762CB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9C782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055EB3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167A7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6FC9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376F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61387FA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民运会资金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BF513F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40.9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E46B6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40.9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EB7A3C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67E29B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0E792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1CAF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07FE1BB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流浪犬抓捕及宣传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0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47.04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4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36.43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5D02D1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77%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3021E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5636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8FA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48ADC99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林芝平安城市视频监控运维费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3D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9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4FE83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58%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34ACD0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AC2B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B7C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C0CE926">
            <w:pPr>
              <w:widowControl/>
              <w:jc w:val="left"/>
              <w:textAlignment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林芝国家可持续发展实验区专项经费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D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84.15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F9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48.17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03EBC7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57%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F3DA6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499E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09E4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6C077AF">
            <w:pPr>
              <w:widowControl/>
              <w:jc w:val="lef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看守所LCD拼接大屏及关押室门禁系统建设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9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73.91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9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68.79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27F9BE">
            <w:pPr>
              <w:widowControl/>
              <w:jc w:val="right"/>
              <w:textAlignment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93%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A0E35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394EE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4444A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5F423FA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看守所（拘留所）水电费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B1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F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567C8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92%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A4E56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7D56C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E76D3A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B30BD2E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拘留所行政拘留人员经费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8B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E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88685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40A59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7025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A8522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73D0572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警察训练基地运维及培训费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A0A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94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145.31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06CB12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73%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1ABE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3DA4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620EC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79FFFC5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警犬工作经费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1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E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33.66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6E39E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AAF722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112BB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2F58D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794D41A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奖励表彰经费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51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64.1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0B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58.32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D53DE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91%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DEC7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5AC3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768E33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D00382D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监管民警卫生保健津贴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3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AA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10.59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4A184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98%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2D3C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06F9DD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244E8E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2A8FB90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加班费补助经费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FD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322.35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9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257.83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377C1E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F3F178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5DF00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ACDA0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D9420C1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缉毒工作及宣传经费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C49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1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0D8979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47%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9F7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21D1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ED083A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74E80B8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203个视频监控点光纤租赁费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2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78.42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2B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78.22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62727A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E957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6EAC0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FC5235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1D28032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350兆数字集群网设备铁塔租赁费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8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39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71D57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75%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8C4D88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17F69E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E0DE3A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AE0543D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地级领导工作经费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F2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58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35C56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A73150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A67F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0D3B86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49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5E25624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电费补助经费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6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83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180.93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7ABE0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91%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990E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7A601D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B65C7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50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682ABAA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二级电子数据取证分析实验室升级改造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4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5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D9E40">
            <w:pPr>
              <w:widowControl/>
              <w:jc w:val="right"/>
              <w:textAlignment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0BA90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4C5E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85F334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51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A138611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反诈中心工作经费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A9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47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7.95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478F74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80%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C05A8B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5C2445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143AC"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52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BE6B45B">
            <w:pPr>
              <w:widowControl/>
              <w:jc w:val="left"/>
              <w:textAlignment w:val="center"/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辅警公用经费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2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D7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19.62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1274A">
            <w:pPr>
              <w:widowControl/>
              <w:jc w:val="right"/>
              <w:textAlignment w:val="center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91%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E2185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39A2A2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C7954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53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E2E5809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国保专项经费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3D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F6E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E36DD">
            <w:pPr>
              <w:widowControl/>
              <w:jc w:val="righ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C8CF1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6F190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D0F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未评价项目（均为涉密资金，另专项自评）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7FD6F">
            <w:pPr>
              <w:widowControl/>
              <w:jc w:val="right"/>
              <w:textAlignment w:val="center"/>
              <w:rPr>
                <w:rFonts w:hint="default" w:ascii="宋体" w:hAnsi="宋体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87BF1">
            <w:pPr>
              <w:widowControl/>
              <w:jc w:val="right"/>
              <w:textAlignment w:val="center"/>
              <w:rPr>
                <w:rFonts w:hint="eastAsia" w:ascii="宋体" w:hAnsi="宋体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3B526">
            <w:pPr>
              <w:widowControl/>
              <w:jc w:val="right"/>
              <w:textAlignment w:val="center"/>
              <w:rPr>
                <w:rFonts w:hint="default" w:ascii="宋体" w:hAnsi="宋体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0%</w:t>
            </w: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FDFA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5D3A1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1CDE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总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计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E6F38A">
            <w:pPr>
              <w:widowControl/>
              <w:jc w:val="right"/>
              <w:textAlignment w:val="center"/>
              <w:rPr>
                <w:rFonts w:ascii="宋体" w:hAns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11187.31</w:t>
            </w:r>
            <w:r>
              <w:rPr>
                <w:rFonts w:ascii="宋体" w:hAnsi="宋体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CEEF9">
            <w:pPr>
              <w:widowControl/>
              <w:jc w:val="right"/>
              <w:textAlignment w:val="center"/>
              <w:rPr>
                <w:rFonts w:ascii="宋体" w:hAnsi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7882.55</w:t>
            </w:r>
            <w:r>
              <w:rPr>
                <w:rFonts w:ascii="宋体" w:hAnsi="宋体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257E28">
            <w:pPr>
              <w:widowControl/>
              <w:jc w:val="right"/>
              <w:textAlignment w:val="center"/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5BE0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41B13224">
      <w:pPr>
        <w:spacing w:line="560" w:lineRule="exact"/>
        <w:ind w:firstLine="280" w:firstLineChars="100"/>
        <w:outlineLvl w:val="1"/>
        <w:rPr>
          <w:rFonts w:ascii="宋体" w:hAnsi="宋体"/>
          <w:bCs/>
          <w:sz w:val="28"/>
          <w:szCs w:val="28"/>
        </w:rPr>
      </w:pPr>
      <w:bookmarkStart w:id="56" w:name="_Toc120481316"/>
      <w:r>
        <w:rPr>
          <w:rFonts w:ascii="宋体" w:hAnsi="宋体"/>
          <w:bCs/>
          <w:sz w:val="28"/>
          <w:szCs w:val="28"/>
        </w:rPr>
        <w:t>(</w:t>
      </w:r>
      <w:r>
        <w:rPr>
          <w:rFonts w:hint="eastAsia" w:ascii="宋体" w:hAnsi="宋体"/>
          <w:bCs/>
          <w:sz w:val="28"/>
          <w:szCs w:val="28"/>
        </w:rPr>
        <w:t>六</w:t>
      </w:r>
      <w:r>
        <w:rPr>
          <w:rFonts w:ascii="宋体" w:hAnsi="宋体"/>
          <w:bCs/>
          <w:sz w:val="28"/>
          <w:szCs w:val="28"/>
        </w:rPr>
        <w:t>)</w:t>
      </w:r>
      <w:r>
        <w:rPr>
          <w:rFonts w:hint="eastAsia" w:ascii="宋体" w:hAnsi="宋体"/>
          <w:bCs/>
          <w:sz w:val="28"/>
          <w:szCs w:val="28"/>
        </w:rPr>
        <w:t>评价结论</w:t>
      </w:r>
      <w:bookmarkEnd w:id="56"/>
    </w:p>
    <w:p w14:paraId="3F3AA88F">
      <w:pPr>
        <w:spacing w:line="560" w:lineRule="exact"/>
        <w:ind w:firstLine="560" w:firstLineChars="200"/>
        <w:outlineLvl w:val="1"/>
        <w:rPr>
          <w:rFonts w:ascii="宋体" w:hAnsi="宋体"/>
          <w:bCs/>
          <w:sz w:val="28"/>
          <w:szCs w:val="28"/>
        </w:rPr>
      </w:pPr>
      <w:bookmarkStart w:id="57" w:name="_Toc120481317"/>
      <w:r>
        <w:rPr>
          <w:rFonts w:hint="eastAsia" w:ascii="宋体" w:hAnsi="宋体"/>
          <w:bCs/>
          <w:sz w:val="28"/>
          <w:szCs w:val="28"/>
        </w:rPr>
        <w:t>1.</w:t>
      </w:r>
      <w:r>
        <w:rPr>
          <w:rFonts w:ascii="宋体" w:hAnsi="宋体"/>
          <w:bCs/>
          <w:sz w:val="28"/>
          <w:szCs w:val="28"/>
        </w:rPr>
        <w:t xml:space="preserve"> 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Cs/>
          <w:sz w:val="28"/>
          <w:szCs w:val="28"/>
        </w:rPr>
        <w:t>年度重点项目</w:t>
      </w:r>
      <w:bookmarkEnd w:id="57"/>
    </w:p>
    <w:p w14:paraId="1AD53C14">
      <w:pPr>
        <w:spacing w:line="560" w:lineRule="exact"/>
        <w:ind w:firstLine="560" w:firstLineChars="200"/>
        <w:rPr>
          <w:rFonts w:ascii="宋体" w:hAnsi="宋体"/>
          <w:kern w:val="0"/>
          <w:sz w:val="28"/>
          <w:szCs w:val="28"/>
          <w:lang w:val="zh-CN"/>
        </w:rPr>
      </w:pPr>
      <w:bookmarkStart w:id="58" w:name="_Toc112427892"/>
      <w:r>
        <w:rPr>
          <w:rFonts w:hint="eastAsia" w:ascii="宋体" w:hAnsi="宋体"/>
          <w:kern w:val="0"/>
          <w:sz w:val="28"/>
          <w:szCs w:val="28"/>
          <w:lang w:val="zh-CN"/>
        </w:rPr>
        <w:t>市公安局2021年度重点财政支出项目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53</w:t>
      </w:r>
      <w:r>
        <w:rPr>
          <w:rFonts w:hint="eastAsia" w:ascii="宋体" w:hAnsi="宋体"/>
          <w:kern w:val="0"/>
          <w:sz w:val="28"/>
          <w:szCs w:val="28"/>
          <w:lang w:val="zh-CN"/>
        </w:rPr>
        <w:t>个，</w:t>
      </w:r>
      <w:bookmarkEnd w:id="58"/>
      <w:r>
        <w:rPr>
          <w:rFonts w:hint="eastAsia" w:ascii="宋体" w:hAnsi="宋体"/>
          <w:kern w:val="0"/>
          <w:sz w:val="28"/>
          <w:szCs w:val="28"/>
          <w:lang w:val="zh-CN"/>
        </w:rPr>
        <w:t>评价结果为</w:t>
      </w:r>
      <w:r>
        <w:rPr>
          <w:rFonts w:hint="eastAsia" w:ascii="宋体" w:hAnsi="宋体"/>
          <w:kern w:val="0"/>
          <w:sz w:val="28"/>
          <w:szCs w:val="28"/>
        </w:rPr>
        <w:t>优</w:t>
      </w:r>
      <w:r>
        <w:rPr>
          <w:rFonts w:hint="eastAsia" w:ascii="宋体" w:hAnsi="宋体"/>
          <w:kern w:val="0"/>
          <w:sz w:val="28"/>
          <w:szCs w:val="28"/>
          <w:lang w:val="zh-CN"/>
        </w:rPr>
        <w:t>的项目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33</w:t>
      </w:r>
      <w:r>
        <w:rPr>
          <w:rFonts w:hint="eastAsia" w:ascii="宋体" w:hAnsi="宋体"/>
          <w:kern w:val="0"/>
          <w:sz w:val="28"/>
          <w:szCs w:val="28"/>
          <w:lang w:val="zh-CN"/>
        </w:rPr>
        <w:t>个；评价结果为</w:t>
      </w:r>
      <w:r>
        <w:rPr>
          <w:rFonts w:hint="eastAsia" w:ascii="宋体" w:hAnsi="宋体"/>
          <w:kern w:val="0"/>
          <w:sz w:val="28"/>
          <w:szCs w:val="28"/>
        </w:rPr>
        <w:t>良</w:t>
      </w:r>
      <w:r>
        <w:rPr>
          <w:rFonts w:hint="eastAsia" w:ascii="宋体" w:hAnsi="宋体"/>
          <w:kern w:val="0"/>
          <w:sz w:val="28"/>
          <w:szCs w:val="28"/>
          <w:lang w:val="zh-CN"/>
        </w:rPr>
        <w:t>的项目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kern w:val="0"/>
          <w:sz w:val="28"/>
          <w:szCs w:val="28"/>
          <w:lang w:val="zh-CN"/>
        </w:rPr>
        <w:t>个；评价结果为</w:t>
      </w:r>
      <w:r>
        <w:rPr>
          <w:rFonts w:hint="eastAsia" w:ascii="宋体" w:hAnsi="宋体"/>
          <w:kern w:val="0"/>
          <w:sz w:val="28"/>
          <w:szCs w:val="28"/>
        </w:rPr>
        <w:t>中</w:t>
      </w:r>
      <w:r>
        <w:rPr>
          <w:rFonts w:hint="eastAsia" w:ascii="宋体" w:hAnsi="宋体"/>
          <w:kern w:val="0"/>
          <w:sz w:val="28"/>
          <w:szCs w:val="28"/>
          <w:lang w:val="zh-CN"/>
        </w:rPr>
        <w:t>的项目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kern w:val="0"/>
          <w:sz w:val="28"/>
          <w:szCs w:val="28"/>
          <w:lang w:val="zh-CN"/>
        </w:rPr>
        <w:t>个；评价结果为</w:t>
      </w:r>
      <w:r>
        <w:rPr>
          <w:rFonts w:hint="eastAsia" w:ascii="宋体" w:hAnsi="宋体"/>
          <w:kern w:val="0"/>
          <w:sz w:val="28"/>
          <w:szCs w:val="28"/>
        </w:rPr>
        <w:t>差</w:t>
      </w:r>
      <w:r>
        <w:rPr>
          <w:rFonts w:hint="eastAsia" w:ascii="宋体" w:hAnsi="宋体"/>
          <w:kern w:val="0"/>
          <w:sz w:val="28"/>
          <w:szCs w:val="28"/>
          <w:lang w:val="zh-CN"/>
        </w:rPr>
        <w:t>的项目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kern w:val="0"/>
          <w:sz w:val="28"/>
          <w:szCs w:val="28"/>
          <w:lang w:val="zh-CN"/>
        </w:rPr>
        <w:t>个。</w:t>
      </w:r>
    </w:p>
    <w:tbl>
      <w:tblPr>
        <w:tblStyle w:val="15"/>
        <w:tblW w:w="5410" w:type="pct"/>
        <w:tblInd w:w="-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9"/>
        <w:gridCol w:w="918"/>
        <w:gridCol w:w="1310"/>
        <w:gridCol w:w="1440"/>
        <w:gridCol w:w="1531"/>
        <w:gridCol w:w="1352"/>
      </w:tblGrid>
      <w:tr w14:paraId="760F33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tblHeader/>
        </w:trPr>
        <w:tc>
          <w:tcPr>
            <w:tcW w:w="13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F6A649">
            <w:pPr>
              <w:widowControl/>
              <w:ind w:firstLine="200" w:firstLineChars="100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3335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31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00D4D">
            <w:pPr>
              <w:widowControl/>
              <w:jc w:val="center"/>
              <w:textAlignment w:val="center"/>
              <w:rPr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  <w:lang w:bidi="ar"/>
              </w:rPr>
              <w:t>评价结果</w:t>
            </w:r>
          </w:p>
        </w:tc>
      </w:tr>
      <w:tr w14:paraId="1B7E3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tblHeader/>
        </w:trPr>
        <w:tc>
          <w:tcPr>
            <w:tcW w:w="136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24EE4">
            <w:pPr>
              <w:widowControl/>
              <w:ind w:firstLine="200" w:firstLineChars="100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6B9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38C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优</w:t>
            </w:r>
          </w:p>
          <w:p w14:paraId="60C3A490">
            <w:pPr>
              <w:pStyle w:val="2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(得分≥95)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32A10"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良</w:t>
            </w:r>
          </w:p>
          <w:p w14:paraId="112B3A53">
            <w:pPr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(</w:t>
            </w:r>
            <w:r>
              <w:rPr>
                <w:rFonts w:hint="eastAsia"/>
                <w:sz w:val="20"/>
                <w:szCs w:val="20"/>
                <w:lang w:bidi="ar"/>
              </w:rPr>
              <w:t>9</w:t>
            </w:r>
            <w:r>
              <w:rPr>
                <w:sz w:val="20"/>
                <w:szCs w:val="20"/>
                <w:lang w:bidi="ar"/>
              </w:rPr>
              <w:t>5</w:t>
            </w:r>
            <w:r>
              <w:rPr>
                <w:rFonts w:hint="eastAsia"/>
                <w:sz w:val="20"/>
                <w:szCs w:val="20"/>
                <w:lang w:bidi="ar"/>
              </w:rPr>
              <w:t>＞得分</w:t>
            </w:r>
            <w:r>
              <w:rPr>
                <w:rFonts w:hint="eastAsia"/>
                <w:sz w:val="20"/>
                <w:szCs w:val="20"/>
              </w:rPr>
              <w:t>≥85)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87795"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</w:t>
            </w:r>
          </w:p>
          <w:p w14:paraId="36067A52">
            <w:pPr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(</w:t>
            </w:r>
            <w:r>
              <w:rPr>
                <w:rFonts w:hint="eastAsia"/>
                <w:sz w:val="20"/>
                <w:szCs w:val="20"/>
                <w:lang w:bidi="ar"/>
              </w:rPr>
              <w:t>8</w:t>
            </w:r>
            <w:r>
              <w:rPr>
                <w:sz w:val="20"/>
                <w:szCs w:val="20"/>
                <w:lang w:bidi="ar"/>
              </w:rPr>
              <w:t>5</w:t>
            </w:r>
            <w:r>
              <w:rPr>
                <w:rFonts w:hint="eastAsia"/>
                <w:sz w:val="20"/>
                <w:szCs w:val="20"/>
                <w:lang w:bidi="ar"/>
              </w:rPr>
              <w:t>＞得分</w:t>
            </w:r>
            <w:r>
              <w:rPr>
                <w:rFonts w:hint="eastAsia"/>
                <w:sz w:val="20"/>
                <w:szCs w:val="20"/>
              </w:rPr>
              <w:t>≥70)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A25A18"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差</w:t>
            </w:r>
          </w:p>
          <w:p w14:paraId="2660359A">
            <w:pPr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(</w:t>
            </w:r>
            <w:r>
              <w:rPr>
                <w:rFonts w:hint="eastAsia"/>
                <w:sz w:val="20"/>
                <w:szCs w:val="20"/>
                <w:lang w:bidi="ar"/>
              </w:rPr>
              <w:t>得分</w:t>
            </w:r>
            <w:r>
              <w:rPr>
                <w:rFonts w:hint="eastAsia"/>
                <w:sz w:val="20"/>
                <w:szCs w:val="20"/>
              </w:rPr>
              <w:t>＜70)</w:t>
            </w:r>
          </w:p>
        </w:tc>
      </w:tr>
      <w:tr w14:paraId="664BA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C9E4BA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雪亮工程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3A9E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87.6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0170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60B5B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65E1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14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</w:tr>
      <w:tr w14:paraId="4F173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00F3D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卫星通信系统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C1F91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3206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B12D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C5E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79DB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FB31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CD0A3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特警营区建设维修项目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72C7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2F2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959E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DB0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613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</w:tr>
      <w:tr w14:paraId="7644A4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E99DDF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培训费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A4A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35D6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486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609D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6355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02D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4CFA559">
            <w:pPr>
              <w:widowControl/>
              <w:jc w:val="lef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警务技能训练基地工程项目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8B5DC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97.6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D95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DDB7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E56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F50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E400B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C5D7F74">
            <w:pPr>
              <w:widowControl/>
              <w:jc w:val="lef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交警支队车管所建设项目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291E7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97.4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0D25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4AF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9F40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070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46BE9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DC51078">
            <w:pPr>
              <w:widowControl/>
              <w:jc w:val="lef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公安信息网网络安全动态感知系统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21D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4D6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41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44E6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EE0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96B2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2ACD44E">
            <w:pPr>
              <w:widowControl/>
              <w:jc w:val="left"/>
              <w:textAlignment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2023年警务实战训练场馆升级改造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DCB48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50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8637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9F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95A4E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BB9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8B9059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扫黑专项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CDB42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E2B3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4C1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E4D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中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F720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A07CD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E44526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市直单位伙食费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E844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CB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02AE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3614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C9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8329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7FE30B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1.17救灾经费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C6D66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81.2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0F4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241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43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中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2EAD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95C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3CF6B7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山地自行车联赛林芝站安保经费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E0540C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7CD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084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F27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0C1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D4FA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208FE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三大节日慰问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E01F5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8BD4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59E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88EC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232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7B21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8B9CF7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辅警经费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8107A7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86D0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325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B417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476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C8E4F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3B3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人才开发专项资金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063CC8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A735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8CED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A1E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ACED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B092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A36E816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情报奖励金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89991A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0983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7A1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E17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523C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差</w:t>
            </w:r>
          </w:p>
        </w:tc>
      </w:tr>
      <w:tr w14:paraId="5087FA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3209C75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FF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抗疫工作人员补助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408C3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DD75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865A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406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BF6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3FF24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69BF32D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FF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抗疫经费本级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4756D0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4F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7CD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7A6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8FCC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2BFB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8864CAF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特警生活补助（自治区）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17F40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85.6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2F1C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2A0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C92D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E6E1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5FDBC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AEBD8B8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林芝市公安局党建经费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81947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D13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A83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9CA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中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EE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B438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7FF01D3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指挥中心各应用系统驻场运维服务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BC8231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92.9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5FBB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55A9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ECA6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DFE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1DEA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506160C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在押人员工作经费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FF3B2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91.6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0270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9007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210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DB7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E080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014ED98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动警务终端租赁费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310435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D3DD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F0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DAE5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01B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2C5A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1D3C081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维稳指挥部专项经费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57E972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CE9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05F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C0E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C6E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BFB1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9790DD2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维稳指挥部视频会议系统链路租赁费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0237BF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0711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DA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50FF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024D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EE9C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1A047C6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团体人身意外伤害工作经费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B3BAC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5B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FB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2E4E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D50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6EA10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02E7424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同频同播、网安、治安和五科光纤资源链路租赁费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B2B240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093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4A31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B285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C1F28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4C1D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BB2DF06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特警支队靶场维护及耗材工作经费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781BF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C22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D3B6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0CBF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66FF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331F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7F77F1DD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特警生活补助（本级配套）工作经费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CAA0C0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C6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BC7C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B8F1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EA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93F5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09E1C66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社区戒毒康复工作经费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71571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92.8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1D4E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704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258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FC889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EFF0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22AB04A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三级网升级扩容至300兆光纤链路租赁费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6896C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B0E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F2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86DA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136C1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6512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52A0769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情报信息综合应用平台维保经费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1669A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D4DF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7F1A6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F0A8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A225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7A27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EF5EC23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民运会资金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D54F2E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ED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EF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185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E3F3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D5190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058294A">
            <w:pPr>
              <w:widowControl/>
              <w:jc w:val="righ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流浪犬抓捕及宣传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9FEBCB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6BF3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459CC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6F5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5671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96D4F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3CA7CAA5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林芝平安城市视频监控运维费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FB9027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95.8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27CE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97B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A9F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66B2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D074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88E5704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林芝国家可持续发展实验区专项经费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5E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2F6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92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47B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C533D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DCD1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F234F91">
            <w:pPr>
              <w:widowControl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看守所LCD拼接大屏及关押室门禁系统建设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384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99.3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2E9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1D2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5E9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9163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A6F70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82D395F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看守所（拘留所）水电费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0A22C6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618F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A80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E1D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E03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857A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5F706D41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拘留所行政拘留人员经费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8E8A57">
            <w:pPr>
              <w:widowControl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68E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EDB3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A7E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172A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78C9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36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532C941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警察训练基地运维及培训费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C60F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97.3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73C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CEC0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4053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EE2A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CB3A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C44158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bookmarkStart w:id="59" w:name="_Toc120481318"/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警犬工作经费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3EC0C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AB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5C4B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EBD2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637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bookmarkEnd w:id="59"/>
      <w:tr w14:paraId="01C57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334681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bookmarkStart w:id="60" w:name="_Toc120481319"/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奖励表彰经费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0D7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98.2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9C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892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90D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0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F2D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9F1E2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监管民警卫生保健津贴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FE0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99.6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1C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D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93E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8CA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5A91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549E20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加班费补助经费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A30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DC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B0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2C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06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DC75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6E4520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缉毒工作及宣传经费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160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89.4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DF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26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5D3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F3A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E6EB0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218828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203个视频监控点光纤租赁费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522A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99.87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1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F8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05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3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557E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4F447B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350兆数字集群网设备铁塔租赁费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5AC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9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78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1B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0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5B092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440514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地级领导工作经费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E4C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60D4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C17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B3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B75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ADD1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B16F37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电费补助经费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C4B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98.05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BBD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B74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A5B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90D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6DD7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3224F7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二级电子数据取证分析实验室升级改造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CE2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902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D23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257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301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7A8BE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68AB9A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反诈中心工作经费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14F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96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AE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AB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A7E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A7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DDEE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83133F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辅警公用经费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0721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98.1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236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73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613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A2E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1A5E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EE9C6F">
            <w:pPr>
              <w:widowControl/>
              <w:jc w:val="left"/>
              <w:textAlignment w:val="center"/>
              <w:rPr>
                <w:rFonts w:hint="eastAsia" w:ascii="Arial Narrow" w:hAnsi="Arial Narrow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Arial Narrow" w:hAnsi="Arial Narrow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国保专项经费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7ED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93.2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04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B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B5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91E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110FD367">
      <w:pPr>
        <w:spacing w:line="560" w:lineRule="exact"/>
        <w:jc w:val="left"/>
        <w:outlineLvl w:val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</w:t>
      </w:r>
      <w:r>
        <w:rPr>
          <w:rFonts w:ascii="宋体" w:hAnsi="宋体" w:cs="宋体"/>
          <w:sz w:val="28"/>
          <w:szCs w:val="28"/>
        </w:rPr>
        <w:t>、</w:t>
      </w:r>
      <w:bookmarkEnd w:id="23"/>
      <w:r>
        <w:rPr>
          <w:rFonts w:hint="eastAsia" w:ascii="宋体" w:hAnsi="宋体" w:cs="宋体"/>
          <w:sz w:val="28"/>
          <w:szCs w:val="28"/>
        </w:rPr>
        <w:t>存在的主要问题</w:t>
      </w:r>
      <w:bookmarkEnd w:id="60"/>
    </w:p>
    <w:p w14:paraId="3E93E5E6">
      <w:pPr>
        <w:spacing w:line="560" w:lineRule="exact"/>
        <w:ind w:firstLine="280" w:firstLineChars="100"/>
        <w:outlineLvl w:val="1"/>
        <w:rPr>
          <w:rFonts w:ascii="宋体" w:hAnsi="宋体"/>
          <w:bCs/>
          <w:sz w:val="28"/>
          <w:szCs w:val="28"/>
        </w:rPr>
      </w:pPr>
      <w:bookmarkStart w:id="61" w:name="_Toc4028"/>
      <w:bookmarkStart w:id="62" w:name="_Toc120481320"/>
      <w:r>
        <w:rPr>
          <w:rFonts w:ascii="宋体" w:hAnsi="宋体"/>
          <w:bCs/>
          <w:sz w:val="28"/>
          <w:szCs w:val="28"/>
        </w:rPr>
        <w:t>(一)</w:t>
      </w:r>
      <w:bookmarkEnd w:id="61"/>
      <w:r>
        <w:rPr>
          <w:rFonts w:hint="eastAsia" w:ascii="宋体" w:hAnsi="宋体"/>
          <w:bCs/>
          <w:sz w:val="28"/>
          <w:szCs w:val="28"/>
        </w:rPr>
        <w:t>绩效指标设置不完整、不规范</w:t>
      </w:r>
      <w:bookmarkEnd w:id="62"/>
    </w:p>
    <w:p w14:paraId="1542CAC0">
      <w:pPr>
        <w:pStyle w:val="2"/>
        <w:spacing w:line="56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我局</w:t>
      </w:r>
      <w:r>
        <w:rPr>
          <w:rFonts w:hint="eastAsia" w:ascii="宋体" w:hAnsi="宋体"/>
          <w:bCs/>
          <w:sz w:val="28"/>
          <w:szCs w:val="28"/>
        </w:rPr>
        <w:t>项目绩效</w:t>
      </w:r>
      <w:r>
        <w:rPr>
          <w:rFonts w:hint="eastAsia" w:ascii="宋体" w:hAnsi="宋体"/>
          <w:bCs/>
          <w:sz w:val="28"/>
          <w:szCs w:val="28"/>
          <w:lang w:eastAsia="zh-CN"/>
        </w:rPr>
        <w:t>目标设置的科学性、规范性有待进一步加强</w:t>
      </w:r>
    </w:p>
    <w:p w14:paraId="2A0E8EED">
      <w:pPr>
        <w:spacing w:line="560" w:lineRule="exact"/>
        <w:jc w:val="left"/>
        <w:outlineLvl w:val="0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63" w:name="_Toc120481321"/>
      <w:r>
        <w:rPr>
          <w:rFonts w:hint="eastAsia" w:ascii="宋体" w:hAnsi="宋体" w:cs="宋体"/>
          <w:sz w:val="28"/>
          <w:szCs w:val="28"/>
        </w:rPr>
        <w:t>三、</w:t>
      </w:r>
      <w:bookmarkEnd w:id="63"/>
      <w:r>
        <w:rPr>
          <w:rFonts w:hint="eastAsia" w:ascii="宋体" w:hAnsi="宋体" w:cs="宋体"/>
          <w:sz w:val="28"/>
          <w:szCs w:val="28"/>
          <w:lang w:eastAsia="zh-CN"/>
        </w:rPr>
        <w:t>今后改进措施</w:t>
      </w:r>
    </w:p>
    <w:p w14:paraId="452BC499">
      <w:pPr>
        <w:spacing w:line="560" w:lineRule="exact"/>
        <w:ind w:firstLine="280" w:firstLineChars="100"/>
        <w:outlineLvl w:val="1"/>
        <w:rPr>
          <w:rFonts w:ascii="宋体" w:hAnsi="宋体"/>
          <w:bCs/>
          <w:sz w:val="28"/>
          <w:szCs w:val="28"/>
        </w:rPr>
      </w:pPr>
      <w:bookmarkStart w:id="64" w:name="_Toc120481322"/>
      <w:r>
        <w:rPr>
          <w:rFonts w:ascii="宋体" w:hAnsi="宋体"/>
          <w:bCs/>
          <w:sz w:val="28"/>
          <w:szCs w:val="28"/>
        </w:rPr>
        <w:t>(一)</w:t>
      </w:r>
      <w:r>
        <w:rPr>
          <w:rFonts w:hint="eastAsia" w:ascii="宋体" w:hAnsi="宋体"/>
          <w:bCs/>
          <w:sz w:val="28"/>
          <w:szCs w:val="28"/>
        </w:rPr>
        <w:t>规范项目绩效目标编制</w:t>
      </w:r>
      <w:bookmarkEnd w:id="64"/>
    </w:p>
    <w:p w14:paraId="539D54DD">
      <w:pPr>
        <w:pStyle w:val="2"/>
        <w:spacing w:line="56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我局</w:t>
      </w:r>
      <w:r>
        <w:rPr>
          <w:rFonts w:hint="eastAsia" w:ascii="宋体" w:hAnsi="宋体"/>
          <w:bCs/>
          <w:sz w:val="28"/>
          <w:szCs w:val="28"/>
        </w:rPr>
        <w:t>在绩效管理工作中，</w:t>
      </w:r>
      <w:r>
        <w:rPr>
          <w:rFonts w:hint="eastAsia" w:ascii="宋体" w:hAnsi="宋体"/>
          <w:bCs/>
          <w:sz w:val="28"/>
          <w:szCs w:val="28"/>
          <w:lang w:eastAsia="zh-CN"/>
        </w:rPr>
        <w:t>将进一步</w:t>
      </w:r>
      <w:r>
        <w:rPr>
          <w:rFonts w:hint="eastAsia" w:ascii="宋体" w:hAnsi="宋体"/>
          <w:bCs/>
          <w:sz w:val="28"/>
          <w:szCs w:val="28"/>
        </w:rPr>
        <w:t>扎实开展部门预算编制工作，严格按照“指向明确、具体细化、合理可行”的指标设置要求，合理、规范设置绩效指标，确保绩效目标合理、规范、量化细化，提高目标填报质量，强化绩效目标对预算资金的牵引作用。</w:t>
      </w:r>
    </w:p>
    <w:p w14:paraId="4CDCB93A">
      <w:pPr>
        <w:spacing w:line="560" w:lineRule="exact"/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bookmarkEnd w:id="10"/>
    <w:p w14:paraId="341469DE"/>
    <w:p w14:paraId="29A643F3">
      <w:pPr>
        <w:pStyle w:val="2"/>
      </w:pPr>
    </w:p>
    <w:p w14:paraId="1DA022A7"/>
    <w:p w14:paraId="362A28BB">
      <w:pPr>
        <w:pStyle w:val="2"/>
      </w:pPr>
    </w:p>
    <w:p w14:paraId="39FB12A4">
      <w:pPr>
        <w:spacing w:line="560" w:lineRule="exact"/>
        <w:ind w:firstLine="210" w:firstLineChars="100"/>
        <w:outlineLvl w:val="1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林芝市公安局</w:t>
      </w:r>
    </w:p>
    <w:p w14:paraId="353AE5E5">
      <w:pPr>
        <w:spacing w:line="560" w:lineRule="exact"/>
        <w:ind w:left="6719" w:leftChars="133" w:hanging="6440" w:hangingChars="2300"/>
        <w:outlineLvl w:val="1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 xml:space="preserve">                                         2024年6月3日</w:t>
      </w:r>
    </w:p>
    <w:p w14:paraId="2C4838CF">
      <w:pPr>
        <w:spacing w:line="560" w:lineRule="exact"/>
        <w:ind w:firstLine="280" w:firstLineChars="100"/>
        <w:outlineLvl w:val="1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12413A91">
      <w:pPr>
        <w:pStyle w:val="2"/>
        <w:spacing w:line="560" w:lineRule="exact"/>
        <w:ind w:firstLine="560" w:firstLineChars="200"/>
        <w:rPr>
          <w:rFonts w:ascii="宋体" w:hAnsi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9F218">
    <w:pPr>
      <w:pStyle w:val="11"/>
      <w:jc w:val="center"/>
    </w:pPr>
  </w:p>
  <w:p w14:paraId="293BE795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43947574"/>
    </w:sdtPr>
    <w:sdtContent>
      <w:p w14:paraId="54326C3C"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7C16557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0671B8"/>
    <w:multiLevelType w:val="multilevel"/>
    <w:tmpl w:val="610671B8"/>
    <w:lvl w:ilvl="0" w:tentative="0">
      <w:start w:val="1"/>
      <w:numFmt w:val="chineseCountingThousand"/>
      <w:pStyle w:val="3"/>
      <w:suff w:val="nothing"/>
      <w:lvlText w:val="%1、"/>
      <w:lvlJc w:val="left"/>
      <w:pPr>
        <w:ind w:left="851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zh-CN" w:eastAsia="zh-CN"/>
      </w:rPr>
    </w:lvl>
    <w:lvl w:ilvl="1" w:tentative="0">
      <w:start w:val="1"/>
      <w:numFmt w:val="chineseCountingThousand"/>
      <w:pStyle w:val="5"/>
      <w:suff w:val="nothing"/>
      <w:lvlText w:val="（%2）"/>
      <w:lvlJc w:val="left"/>
      <w:pPr>
        <w:ind w:left="993" w:hanging="567"/>
      </w:pPr>
      <w:rPr>
        <w:rFonts w:hint="eastAsia"/>
        <w:lang w:val="zh-CN"/>
      </w:rPr>
    </w:lvl>
    <w:lvl w:ilvl="2" w:tentative="0">
      <w:start w:val="1"/>
      <w:numFmt w:val="decimal"/>
      <w:pStyle w:val="6"/>
      <w:suff w:val="nothing"/>
      <w:lvlText w:val="%3. "/>
      <w:lvlJc w:val="left"/>
      <w:pPr>
        <w:ind w:left="993" w:hanging="567"/>
      </w:pPr>
      <w:rPr>
        <w:rFonts w:hint="eastAsia"/>
      </w:rPr>
    </w:lvl>
    <w:lvl w:ilvl="3" w:tentative="0">
      <w:start w:val="1"/>
      <w:numFmt w:val="decimal"/>
      <w:pStyle w:val="7"/>
      <w:suff w:val="nothing"/>
      <w:lvlText w:val="（%4）"/>
      <w:lvlJc w:val="left"/>
      <w:pPr>
        <w:ind w:left="992" w:hanging="425"/>
      </w:pPr>
      <w:rPr>
        <w:rFonts w:hint="eastAsia"/>
      </w:rPr>
    </w:lvl>
    <w:lvl w:ilvl="4" w:tentative="0">
      <w:start w:val="1"/>
      <w:numFmt w:val="decimal"/>
      <w:pStyle w:val="8"/>
      <w:suff w:val="nothing"/>
      <w:lvlText w:val="%5）"/>
      <w:lvlJc w:val="left"/>
      <w:pPr>
        <w:ind w:left="992" w:hanging="113"/>
      </w:pPr>
      <w:rPr>
        <w:rFonts w:hint="eastAsia"/>
      </w:rPr>
    </w:lvl>
    <w:lvl w:ilvl="5" w:tentative="0">
      <w:start w:val="1"/>
      <w:numFmt w:val="decimal"/>
      <w:pStyle w:val="31"/>
      <w:suff w:val="nothing"/>
      <w:lvlText w:val="附件%6 "/>
      <w:lvlJc w:val="left"/>
      <w:pPr>
        <w:ind w:left="1276" w:firstLine="0"/>
      </w:pPr>
      <w:rPr>
        <w:rFonts w:hint="eastAsia"/>
      </w:rPr>
    </w:lvl>
    <w:lvl w:ilvl="6" w:tentative="0">
      <w:start w:val="1"/>
      <w:numFmt w:val="chineseCountingThousand"/>
      <w:suff w:val="nothing"/>
      <w:lvlText w:val="%7、"/>
      <w:lvlJc w:val="left"/>
      <w:pPr>
        <w:ind w:left="992" w:hanging="567"/>
      </w:pPr>
      <w:rPr>
        <w:rFonts w:hint="eastAsia"/>
      </w:rPr>
    </w:lvl>
    <w:lvl w:ilvl="7" w:tentative="0">
      <w:start w:val="1"/>
      <w:numFmt w:val="chineseCountingThousand"/>
      <w:suff w:val="nothing"/>
      <w:lvlText w:val="（%8）"/>
      <w:lvlJc w:val="left"/>
      <w:pPr>
        <w:ind w:left="992" w:hanging="567"/>
      </w:pPr>
      <w:rPr>
        <w:rFonts w:hint="eastAsia"/>
      </w:rPr>
    </w:lvl>
    <w:lvl w:ilvl="8" w:tentative="0">
      <w:start w:val="1"/>
      <w:numFmt w:val="decimal"/>
      <w:suff w:val="nothing"/>
      <w:lvlText w:val="%9. "/>
      <w:lvlJc w:val="left"/>
      <w:pPr>
        <w:ind w:left="992" w:hanging="567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yZGJkYzJhNmE0NDBlOTIzMzNhNzJkYmIyOWE0NWIifQ=="/>
  </w:docVars>
  <w:rsids>
    <w:rsidRoot w:val="000F423A"/>
    <w:rsid w:val="00023454"/>
    <w:rsid w:val="0003154F"/>
    <w:rsid w:val="0005136A"/>
    <w:rsid w:val="0005301B"/>
    <w:rsid w:val="000551D7"/>
    <w:rsid w:val="000626AB"/>
    <w:rsid w:val="00062941"/>
    <w:rsid w:val="0007426E"/>
    <w:rsid w:val="00076FCD"/>
    <w:rsid w:val="000778E5"/>
    <w:rsid w:val="000804E9"/>
    <w:rsid w:val="00086A68"/>
    <w:rsid w:val="000A052D"/>
    <w:rsid w:val="000D35AA"/>
    <w:rsid w:val="000D3BCF"/>
    <w:rsid w:val="000D5A1F"/>
    <w:rsid w:val="000E7A51"/>
    <w:rsid w:val="000F423A"/>
    <w:rsid w:val="00102ADB"/>
    <w:rsid w:val="00103FB3"/>
    <w:rsid w:val="00110E27"/>
    <w:rsid w:val="00111E5F"/>
    <w:rsid w:val="00115FAB"/>
    <w:rsid w:val="00117A8C"/>
    <w:rsid w:val="001226DD"/>
    <w:rsid w:val="00123280"/>
    <w:rsid w:val="00135F52"/>
    <w:rsid w:val="00136187"/>
    <w:rsid w:val="00140068"/>
    <w:rsid w:val="00144359"/>
    <w:rsid w:val="0014666C"/>
    <w:rsid w:val="00167D3D"/>
    <w:rsid w:val="00194B3E"/>
    <w:rsid w:val="001A1133"/>
    <w:rsid w:val="001A3885"/>
    <w:rsid w:val="001B1794"/>
    <w:rsid w:val="001B35B0"/>
    <w:rsid w:val="001B6114"/>
    <w:rsid w:val="001C045B"/>
    <w:rsid w:val="001C783F"/>
    <w:rsid w:val="001D3FC7"/>
    <w:rsid w:val="001E5768"/>
    <w:rsid w:val="001E7650"/>
    <w:rsid w:val="001F59A4"/>
    <w:rsid w:val="00202FD7"/>
    <w:rsid w:val="0021322D"/>
    <w:rsid w:val="00215C37"/>
    <w:rsid w:val="002221A0"/>
    <w:rsid w:val="00222D3E"/>
    <w:rsid w:val="00223BA3"/>
    <w:rsid w:val="002279D4"/>
    <w:rsid w:val="00235297"/>
    <w:rsid w:val="00242F57"/>
    <w:rsid w:val="002643F7"/>
    <w:rsid w:val="00267301"/>
    <w:rsid w:val="00277332"/>
    <w:rsid w:val="002856C2"/>
    <w:rsid w:val="0029377A"/>
    <w:rsid w:val="00294515"/>
    <w:rsid w:val="002A02D2"/>
    <w:rsid w:val="002A63A0"/>
    <w:rsid w:val="002C097C"/>
    <w:rsid w:val="002C6ACD"/>
    <w:rsid w:val="002D353D"/>
    <w:rsid w:val="002D4930"/>
    <w:rsid w:val="002E2E4E"/>
    <w:rsid w:val="002E6761"/>
    <w:rsid w:val="002F17E0"/>
    <w:rsid w:val="002F190B"/>
    <w:rsid w:val="002F566E"/>
    <w:rsid w:val="003064CE"/>
    <w:rsid w:val="00312F86"/>
    <w:rsid w:val="00321FF5"/>
    <w:rsid w:val="003268F5"/>
    <w:rsid w:val="003279F7"/>
    <w:rsid w:val="00343988"/>
    <w:rsid w:val="00344156"/>
    <w:rsid w:val="00344425"/>
    <w:rsid w:val="00360309"/>
    <w:rsid w:val="00365001"/>
    <w:rsid w:val="0037479E"/>
    <w:rsid w:val="0037613C"/>
    <w:rsid w:val="00377C3B"/>
    <w:rsid w:val="003A3FFF"/>
    <w:rsid w:val="003B2BDA"/>
    <w:rsid w:val="003C1C36"/>
    <w:rsid w:val="003D4BDD"/>
    <w:rsid w:val="003D4F7E"/>
    <w:rsid w:val="003D73D9"/>
    <w:rsid w:val="003D7CC6"/>
    <w:rsid w:val="003E636D"/>
    <w:rsid w:val="003F3B54"/>
    <w:rsid w:val="003F6D36"/>
    <w:rsid w:val="00400E61"/>
    <w:rsid w:val="0040242E"/>
    <w:rsid w:val="004345F0"/>
    <w:rsid w:val="00437B45"/>
    <w:rsid w:val="00442D30"/>
    <w:rsid w:val="004468D9"/>
    <w:rsid w:val="00467E79"/>
    <w:rsid w:val="004756CD"/>
    <w:rsid w:val="004776AB"/>
    <w:rsid w:val="0048591A"/>
    <w:rsid w:val="00486A94"/>
    <w:rsid w:val="004B59E7"/>
    <w:rsid w:val="004C0459"/>
    <w:rsid w:val="004C7AE1"/>
    <w:rsid w:val="004C7D54"/>
    <w:rsid w:val="004E4EE2"/>
    <w:rsid w:val="004E6E43"/>
    <w:rsid w:val="004F1B5E"/>
    <w:rsid w:val="004F2580"/>
    <w:rsid w:val="00500842"/>
    <w:rsid w:val="00507111"/>
    <w:rsid w:val="00511CEC"/>
    <w:rsid w:val="00544FAE"/>
    <w:rsid w:val="00551944"/>
    <w:rsid w:val="0055437A"/>
    <w:rsid w:val="00563CFD"/>
    <w:rsid w:val="00574F1D"/>
    <w:rsid w:val="005754DB"/>
    <w:rsid w:val="00582CB6"/>
    <w:rsid w:val="00585151"/>
    <w:rsid w:val="005B4EB9"/>
    <w:rsid w:val="005D7A4B"/>
    <w:rsid w:val="005F35BE"/>
    <w:rsid w:val="005F3AC8"/>
    <w:rsid w:val="005F4BAC"/>
    <w:rsid w:val="0060582D"/>
    <w:rsid w:val="006240BA"/>
    <w:rsid w:val="00624E00"/>
    <w:rsid w:val="00625E47"/>
    <w:rsid w:val="006301FA"/>
    <w:rsid w:val="00630F83"/>
    <w:rsid w:val="0063113C"/>
    <w:rsid w:val="0063196A"/>
    <w:rsid w:val="00631B5B"/>
    <w:rsid w:val="006558DC"/>
    <w:rsid w:val="0065705C"/>
    <w:rsid w:val="00662DD4"/>
    <w:rsid w:val="00674005"/>
    <w:rsid w:val="006755D9"/>
    <w:rsid w:val="0068567C"/>
    <w:rsid w:val="00690406"/>
    <w:rsid w:val="00691E2B"/>
    <w:rsid w:val="00694BE1"/>
    <w:rsid w:val="006C1535"/>
    <w:rsid w:val="006C1C0D"/>
    <w:rsid w:val="006E1DA4"/>
    <w:rsid w:val="006F3498"/>
    <w:rsid w:val="00704788"/>
    <w:rsid w:val="00721D70"/>
    <w:rsid w:val="00727AEF"/>
    <w:rsid w:val="00732F93"/>
    <w:rsid w:val="0073465F"/>
    <w:rsid w:val="00734F13"/>
    <w:rsid w:val="00751771"/>
    <w:rsid w:val="007578E0"/>
    <w:rsid w:val="007813A7"/>
    <w:rsid w:val="00781FD6"/>
    <w:rsid w:val="007B2A18"/>
    <w:rsid w:val="007C51E7"/>
    <w:rsid w:val="007D2C7B"/>
    <w:rsid w:val="007F0F14"/>
    <w:rsid w:val="007F1885"/>
    <w:rsid w:val="008070AA"/>
    <w:rsid w:val="00811247"/>
    <w:rsid w:val="008145BC"/>
    <w:rsid w:val="0082215B"/>
    <w:rsid w:val="00831AD6"/>
    <w:rsid w:val="008320CF"/>
    <w:rsid w:val="00864EE2"/>
    <w:rsid w:val="00865337"/>
    <w:rsid w:val="00874D59"/>
    <w:rsid w:val="00883AE3"/>
    <w:rsid w:val="00891015"/>
    <w:rsid w:val="008A2981"/>
    <w:rsid w:val="008A4385"/>
    <w:rsid w:val="008A5E12"/>
    <w:rsid w:val="008A79AB"/>
    <w:rsid w:val="008B42F2"/>
    <w:rsid w:val="008C2FAD"/>
    <w:rsid w:val="008C379F"/>
    <w:rsid w:val="008C551D"/>
    <w:rsid w:val="008C73AE"/>
    <w:rsid w:val="008C7A75"/>
    <w:rsid w:val="008E7410"/>
    <w:rsid w:val="008F03B5"/>
    <w:rsid w:val="008F3DA9"/>
    <w:rsid w:val="00906CA7"/>
    <w:rsid w:val="00910EC7"/>
    <w:rsid w:val="0091178A"/>
    <w:rsid w:val="00926E6B"/>
    <w:rsid w:val="00940180"/>
    <w:rsid w:val="00944013"/>
    <w:rsid w:val="00951360"/>
    <w:rsid w:val="00953960"/>
    <w:rsid w:val="00955FF5"/>
    <w:rsid w:val="00966187"/>
    <w:rsid w:val="00977ECD"/>
    <w:rsid w:val="009877B3"/>
    <w:rsid w:val="009922F7"/>
    <w:rsid w:val="00993DA5"/>
    <w:rsid w:val="0099581A"/>
    <w:rsid w:val="009975A0"/>
    <w:rsid w:val="00997DC9"/>
    <w:rsid w:val="009C4B61"/>
    <w:rsid w:val="009E1318"/>
    <w:rsid w:val="009E4434"/>
    <w:rsid w:val="00A02EF8"/>
    <w:rsid w:val="00A05C4F"/>
    <w:rsid w:val="00A123DB"/>
    <w:rsid w:val="00A20DB9"/>
    <w:rsid w:val="00A213B8"/>
    <w:rsid w:val="00A27429"/>
    <w:rsid w:val="00A27858"/>
    <w:rsid w:val="00A30701"/>
    <w:rsid w:val="00A445C0"/>
    <w:rsid w:val="00A446FF"/>
    <w:rsid w:val="00A707F8"/>
    <w:rsid w:val="00A763D0"/>
    <w:rsid w:val="00A86630"/>
    <w:rsid w:val="00A96B2A"/>
    <w:rsid w:val="00AB0190"/>
    <w:rsid w:val="00AB1AAA"/>
    <w:rsid w:val="00AB523C"/>
    <w:rsid w:val="00AD7431"/>
    <w:rsid w:val="00B13D3D"/>
    <w:rsid w:val="00B45932"/>
    <w:rsid w:val="00B5334C"/>
    <w:rsid w:val="00B6333C"/>
    <w:rsid w:val="00B809B9"/>
    <w:rsid w:val="00B878B7"/>
    <w:rsid w:val="00BA6853"/>
    <w:rsid w:val="00BB6C75"/>
    <w:rsid w:val="00BC1DA3"/>
    <w:rsid w:val="00BC6D1F"/>
    <w:rsid w:val="00BD253D"/>
    <w:rsid w:val="00BE0E62"/>
    <w:rsid w:val="00C01079"/>
    <w:rsid w:val="00C054BE"/>
    <w:rsid w:val="00C11205"/>
    <w:rsid w:val="00C33AEC"/>
    <w:rsid w:val="00C351C3"/>
    <w:rsid w:val="00C359D3"/>
    <w:rsid w:val="00C45366"/>
    <w:rsid w:val="00C505B7"/>
    <w:rsid w:val="00C50978"/>
    <w:rsid w:val="00C646E2"/>
    <w:rsid w:val="00C662BA"/>
    <w:rsid w:val="00C70B96"/>
    <w:rsid w:val="00C753DA"/>
    <w:rsid w:val="00C842EC"/>
    <w:rsid w:val="00C94ABC"/>
    <w:rsid w:val="00CA1C2C"/>
    <w:rsid w:val="00CB577B"/>
    <w:rsid w:val="00CC2743"/>
    <w:rsid w:val="00CD1CD0"/>
    <w:rsid w:val="00CD1F68"/>
    <w:rsid w:val="00CD3E6F"/>
    <w:rsid w:val="00CE5531"/>
    <w:rsid w:val="00CE7D43"/>
    <w:rsid w:val="00CF61BE"/>
    <w:rsid w:val="00D15766"/>
    <w:rsid w:val="00D3112C"/>
    <w:rsid w:val="00D33397"/>
    <w:rsid w:val="00D35794"/>
    <w:rsid w:val="00D41E7B"/>
    <w:rsid w:val="00D607E6"/>
    <w:rsid w:val="00D62B44"/>
    <w:rsid w:val="00DA1F11"/>
    <w:rsid w:val="00DA40D5"/>
    <w:rsid w:val="00DC0EDF"/>
    <w:rsid w:val="00DC6312"/>
    <w:rsid w:val="00DD00BB"/>
    <w:rsid w:val="00DD3D28"/>
    <w:rsid w:val="00DE2CE4"/>
    <w:rsid w:val="00DF0771"/>
    <w:rsid w:val="00E16B83"/>
    <w:rsid w:val="00E243D9"/>
    <w:rsid w:val="00E2464B"/>
    <w:rsid w:val="00E24A3C"/>
    <w:rsid w:val="00E26ADE"/>
    <w:rsid w:val="00E556CC"/>
    <w:rsid w:val="00E653E9"/>
    <w:rsid w:val="00E66CE8"/>
    <w:rsid w:val="00E7406E"/>
    <w:rsid w:val="00E870C2"/>
    <w:rsid w:val="00E91285"/>
    <w:rsid w:val="00E9293D"/>
    <w:rsid w:val="00EA2ED8"/>
    <w:rsid w:val="00EA7477"/>
    <w:rsid w:val="00EB55C5"/>
    <w:rsid w:val="00EB5BDD"/>
    <w:rsid w:val="00EC2760"/>
    <w:rsid w:val="00EC4181"/>
    <w:rsid w:val="00EE2615"/>
    <w:rsid w:val="00EF32DF"/>
    <w:rsid w:val="00F06DFB"/>
    <w:rsid w:val="00F342A2"/>
    <w:rsid w:val="00F3443A"/>
    <w:rsid w:val="00F351E3"/>
    <w:rsid w:val="00F37E94"/>
    <w:rsid w:val="00F42C35"/>
    <w:rsid w:val="00F60C0C"/>
    <w:rsid w:val="00F65EB7"/>
    <w:rsid w:val="00F72602"/>
    <w:rsid w:val="00F7272F"/>
    <w:rsid w:val="00F85993"/>
    <w:rsid w:val="00F944B8"/>
    <w:rsid w:val="00F97808"/>
    <w:rsid w:val="00FB0C70"/>
    <w:rsid w:val="00FC0413"/>
    <w:rsid w:val="00FC4F91"/>
    <w:rsid w:val="00FD057D"/>
    <w:rsid w:val="00FD59B6"/>
    <w:rsid w:val="00FF5864"/>
    <w:rsid w:val="00FF6A95"/>
    <w:rsid w:val="047355CE"/>
    <w:rsid w:val="061C0D96"/>
    <w:rsid w:val="067849FC"/>
    <w:rsid w:val="091F0FEF"/>
    <w:rsid w:val="0A2D3298"/>
    <w:rsid w:val="0E365D48"/>
    <w:rsid w:val="0F056591"/>
    <w:rsid w:val="101075EA"/>
    <w:rsid w:val="110D535D"/>
    <w:rsid w:val="11E93789"/>
    <w:rsid w:val="139327D8"/>
    <w:rsid w:val="1397384C"/>
    <w:rsid w:val="163F682C"/>
    <w:rsid w:val="16D962A5"/>
    <w:rsid w:val="19792055"/>
    <w:rsid w:val="1A9A731D"/>
    <w:rsid w:val="1BCB6103"/>
    <w:rsid w:val="1BDC0038"/>
    <w:rsid w:val="1C9A0783"/>
    <w:rsid w:val="1F501AAA"/>
    <w:rsid w:val="1F6E1A7C"/>
    <w:rsid w:val="1FE24047"/>
    <w:rsid w:val="20262C9F"/>
    <w:rsid w:val="211846B7"/>
    <w:rsid w:val="232E6E65"/>
    <w:rsid w:val="255A5265"/>
    <w:rsid w:val="261C5147"/>
    <w:rsid w:val="274A3D73"/>
    <w:rsid w:val="27E740D6"/>
    <w:rsid w:val="27FD7B70"/>
    <w:rsid w:val="2913307B"/>
    <w:rsid w:val="297F1CB3"/>
    <w:rsid w:val="2A651A3A"/>
    <w:rsid w:val="2C5C5D4C"/>
    <w:rsid w:val="2D1759B5"/>
    <w:rsid w:val="2DC9589C"/>
    <w:rsid w:val="2E8F3B64"/>
    <w:rsid w:val="2FFB0BFF"/>
    <w:rsid w:val="30522667"/>
    <w:rsid w:val="310F448E"/>
    <w:rsid w:val="313034FB"/>
    <w:rsid w:val="31434FCB"/>
    <w:rsid w:val="328E2276"/>
    <w:rsid w:val="364763C9"/>
    <w:rsid w:val="371B60A2"/>
    <w:rsid w:val="37AA49A1"/>
    <w:rsid w:val="390E4F3A"/>
    <w:rsid w:val="3A0F0C00"/>
    <w:rsid w:val="3B391899"/>
    <w:rsid w:val="3FC62F5D"/>
    <w:rsid w:val="42350C90"/>
    <w:rsid w:val="454B2248"/>
    <w:rsid w:val="46EE5581"/>
    <w:rsid w:val="47A3759A"/>
    <w:rsid w:val="47FA38D4"/>
    <w:rsid w:val="47FD6248"/>
    <w:rsid w:val="480B74E0"/>
    <w:rsid w:val="48B06B74"/>
    <w:rsid w:val="498C365B"/>
    <w:rsid w:val="4AA04DE4"/>
    <w:rsid w:val="4AA94ACD"/>
    <w:rsid w:val="4CAA51CB"/>
    <w:rsid w:val="537D5CC3"/>
    <w:rsid w:val="5414489D"/>
    <w:rsid w:val="55432A34"/>
    <w:rsid w:val="57122DFE"/>
    <w:rsid w:val="579F78F0"/>
    <w:rsid w:val="58052F20"/>
    <w:rsid w:val="58D643B4"/>
    <w:rsid w:val="5A792D99"/>
    <w:rsid w:val="5C881ACB"/>
    <w:rsid w:val="5CC326F6"/>
    <w:rsid w:val="5D1F3486"/>
    <w:rsid w:val="5E4409EC"/>
    <w:rsid w:val="5EA507C4"/>
    <w:rsid w:val="5F267EE3"/>
    <w:rsid w:val="5F6661A5"/>
    <w:rsid w:val="60793CB6"/>
    <w:rsid w:val="635A054B"/>
    <w:rsid w:val="63B52293"/>
    <w:rsid w:val="677723D3"/>
    <w:rsid w:val="681A56B9"/>
    <w:rsid w:val="686A5852"/>
    <w:rsid w:val="69036813"/>
    <w:rsid w:val="696A17DD"/>
    <w:rsid w:val="6D260198"/>
    <w:rsid w:val="6D396CA7"/>
    <w:rsid w:val="719C7908"/>
    <w:rsid w:val="746C5BB4"/>
    <w:rsid w:val="754F4F6A"/>
    <w:rsid w:val="757F5473"/>
    <w:rsid w:val="75A31161"/>
    <w:rsid w:val="76AD6D38"/>
    <w:rsid w:val="783138DB"/>
    <w:rsid w:val="7C151FF6"/>
    <w:rsid w:val="7DB92B91"/>
    <w:rsid w:val="7E38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2" w:semiHidden="0" w:name="heading 3"/>
    <w:lsdException w:qFormat="1" w:unhideWhenUsed="0" w:uiPriority="3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4"/>
    <w:next w:val="4"/>
    <w:link w:val="25"/>
    <w:qFormat/>
    <w:uiPriority w:val="0"/>
    <w:pPr>
      <w:numPr>
        <w:ilvl w:val="0"/>
        <w:numId w:val="1"/>
      </w:numPr>
      <w:spacing w:before="120" w:after="60"/>
      <w:ind w:firstLine="0" w:firstLineChars="0"/>
      <w:jc w:val="left"/>
      <w:outlineLvl w:val="0"/>
    </w:pPr>
    <w:rPr>
      <w:rFonts w:eastAsia="黑体"/>
      <w:bCs/>
      <w:kern w:val="44"/>
      <w:szCs w:val="44"/>
    </w:rPr>
  </w:style>
  <w:style w:type="paragraph" w:styleId="5">
    <w:name w:val="heading 2"/>
    <w:basedOn w:val="4"/>
    <w:next w:val="4"/>
    <w:link w:val="26"/>
    <w:qFormat/>
    <w:uiPriority w:val="1"/>
    <w:pPr>
      <w:keepNext/>
      <w:keepLines/>
      <w:numPr>
        <w:ilvl w:val="1"/>
        <w:numId w:val="1"/>
      </w:numPr>
      <w:spacing w:before="120" w:after="60"/>
      <w:ind w:firstLine="0" w:firstLineChars="0"/>
      <w:outlineLvl w:val="1"/>
    </w:pPr>
    <w:rPr>
      <w:rFonts w:eastAsia="楷体_GB2312" w:cstheme="majorBidi"/>
      <w:b/>
      <w:bCs/>
      <w:szCs w:val="32"/>
    </w:rPr>
  </w:style>
  <w:style w:type="paragraph" w:styleId="6">
    <w:name w:val="heading 3"/>
    <w:basedOn w:val="4"/>
    <w:next w:val="4"/>
    <w:link w:val="33"/>
    <w:qFormat/>
    <w:uiPriority w:val="2"/>
    <w:pPr>
      <w:keepNext/>
      <w:keepLines/>
      <w:numPr>
        <w:ilvl w:val="2"/>
        <w:numId w:val="1"/>
      </w:numPr>
      <w:spacing w:before="120" w:after="60"/>
      <w:ind w:firstLine="0" w:firstLineChars="0"/>
      <w:outlineLvl w:val="2"/>
    </w:pPr>
    <w:rPr>
      <w:bCs/>
      <w:szCs w:val="32"/>
    </w:rPr>
  </w:style>
  <w:style w:type="paragraph" w:styleId="7">
    <w:name w:val="heading 4"/>
    <w:basedOn w:val="4"/>
    <w:next w:val="1"/>
    <w:link w:val="28"/>
    <w:qFormat/>
    <w:uiPriority w:val="3"/>
    <w:pPr>
      <w:keepNext/>
      <w:keepLines/>
      <w:numPr>
        <w:ilvl w:val="3"/>
        <w:numId w:val="1"/>
      </w:numPr>
      <w:spacing w:before="120" w:after="60"/>
      <w:ind w:firstLine="0" w:firstLineChars="0"/>
      <w:outlineLvl w:val="3"/>
    </w:pPr>
    <w:rPr>
      <w:rFonts w:cstheme="majorBidi"/>
      <w:b/>
      <w:bCs/>
    </w:rPr>
  </w:style>
  <w:style w:type="paragraph" w:styleId="8">
    <w:name w:val="heading 5"/>
    <w:basedOn w:val="4"/>
    <w:next w:val="4"/>
    <w:link w:val="29"/>
    <w:unhideWhenUsed/>
    <w:qFormat/>
    <w:uiPriority w:val="9"/>
    <w:pPr>
      <w:keepNext/>
      <w:keepLines/>
      <w:numPr>
        <w:ilvl w:val="4"/>
        <w:numId w:val="1"/>
      </w:numPr>
      <w:spacing w:before="120" w:after="60"/>
      <w:ind w:firstLine="0" w:firstLineChars="0"/>
      <w:outlineLvl w:val="4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22"/>
    <w:unhideWhenUsed/>
    <w:qFormat/>
    <w:uiPriority w:val="99"/>
  </w:style>
  <w:style w:type="paragraph" w:customStyle="1" w:styleId="4">
    <w:name w:val="汇政正文"/>
    <w:basedOn w:val="1"/>
    <w:link w:val="30"/>
    <w:qFormat/>
    <w:uiPriority w:val="3"/>
    <w:pPr>
      <w:spacing w:line="600" w:lineRule="exact"/>
      <w:ind w:firstLine="200" w:firstLineChars="200"/>
    </w:pPr>
    <w:rPr>
      <w:rFonts w:eastAsia="仿宋_GB2312"/>
      <w:kern w:val="0"/>
      <w:sz w:val="32"/>
      <w:szCs w:val="28"/>
      <w:lang w:val="zh-CN"/>
    </w:rPr>
  </w:style>
  <w:style w:type="paragraph" w:styleId="9">
    <w:name w:val="Body Text"/>
    <w:basedOn w:val="1"/>
    <w:link w:val="40"/>
    <w:qFormat/>
    <w:uiPriority w:val="0"/>
    <w:pPr>
      <w:spacing w:after="120"/>
    </w:pPr>
  </w:style>
  <w:style w:type="paragraph" w:styleId="10">
    <w:name w:val="Balloon Text"/>
    <w:basedOn w:val="1"/>
    <w:link w:val="3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460" w:lineRule="exact"/>
    </w:pPr>
    <w:rPr>
      <w:rFonts w:eastAsia="仿宋_GB2312"/>
      <w:b/>
      <w:kern w:val="0"/>
      <w:sz w:val="28"/>
      <w:szCs w:val="28"/>
      <w:lang w:val="zh-CN"/>
    </w:rPr>
  </w:style>
  <w:style w:type="paragraph" w:styleId="14">
    <w:name w:val="toc 2"/>
    <w:basedOn w:val="1"/>
    <w:next w:val="1"/>
    <w:unhideWhenUsed/>
    <w:qFormat/>
    <w:uiPriority w:val="39"/>
    <w:pPr>
      <w:tabs>
        <w:tab w:val="right" w:leader="dot" w:pos="8296"/>
      </w:tabs>
      <w:spacing w:line="460" w:lineRule="exact"/>
      <w:ind w:left="200" w:leftChars="200"/>
    </w:pPr>
    <w:rPr>
      <w:rFonts w:eastAsia="仿宋_GB2312"/>
      <w:kern w:val="0"/>
      <w:sz w:val="28"/>
      <w:szCs w:val="28"/>
      <w:lang w:val="zh-CN"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19">
    <w:name w:val="页脚 字符"/>
    <w:basedOn w:val="16"/>
    <w:link w:val="11"/>
    <w:qFormat/>
    <w:uiPriority w:val="99"/>
    <w:rPr>
      <w:sz w:val="18"/>
      <w:szCs w:val="18"/>
    </w:rPr>
  </w:style>
  <w:style w:type="paragraph" w:customStyle="1" w:styleId="20">
    <w:name w:val="汇政封面项目信息"/>
    <w:basedOn w:val="1"/>
    <w:next w:val="1"/>
    <w:qFormat/>
    <w:uiPriority w:val="0"/>
    <w:pPr>
      <w:spacing w:before="120"/>
      <w:ind w:left="800" w:leftChars="800"/>
      <w:jc w:val="left"/>
    </w:pPr>
    <w:rPr>
      <w:rFonts w:eastAsia="黑体"/>
      <w:kern w:val="0"/>
      <w:sz w:val="28"/>
      <w:szCs w:val="28"/>
      <w:lang w:val="zh-CN"/>
    </w:rPr>
  </w:style>
  <w:style w:type="paragraph" w:customStyle="1" w:styleId="21">
    <w:name w:val="闻政页码"/>
    <w:qFormat/>
    <w:uiPriority w:val="0"/>
    <w:pPr>
      <w:jc w:val="center"/>
    </w:pPr>
    <w:rPr>
      <w:rFonts w:ascii="Times New Roman" w:hAnsi="Times New Roman" w:eastAsia="Times New Roman" w:cs="Times New Roman"/>
      <w:szCs w:val="28"/>
      <w:lang w:val="en-US" w:eastAsia="zh-CN" w:bidi="ar-SA"/>
    </w:rPr>
  </w:style>
  <w:style w:type="character" w:customStyle="1" w:styleId="22">
    <w:name w:val="称呼 字符"/>
    <w:basedOn w:val="16"/>
    <w:link w:val="2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23">
    <w:name w:val="闻政封面完成时间"/>
    <w:basedOn w:val="1"/>
    <w:qFormat/>
    <w:uiPriority w:val="0"/>
    <w:pPr>
      <w:spacing w:before="120"/>
      <w:jc w:val="center"/>
    </w:pPr>
    <w:rPr>
      <w:rFonts w:eastAsia="黑体"/>
      <w:b/>
      <w:kern w:val="0"/>
      <w:sz w:val="28"/>
      <w:szCs w:val="28"/>
      <w:lang w:val="zh-CN"/>
    </w:rPr>
  </w:style>
  <w:style w:type="paragraph" w:customStyle="1" w:styleId="24">
    <w:name w:val="汇政页码"/>
    <w:qFormat/>
    <w:uiPriority w:val="6"/>
    <w:pPr>
      <w:jc w:val="center"/>
    </w:pPr>
    <w:rPr>
      <w:rFonts w:ascii="Times New Roman" w:hAnsi="Times New Roman" w:eastAsia="Times New Roman" w:cs="Times New Roman"/>
      <w:sz w:val="21"/>
      <w:szCs w:val="28"/>
      <w:lang w:val="en-US" w:eastAsia="zh-CN" w:bidi="ar-SA"/>
    </w:rPr>
  </w:style>
  <w:style w:type="character" w:customStyle="1" w:styleId="25">
    <w:name w:val="标题 1 字符"/>
    <w:basedOn w:val="16"/>
    <w:link w:val="3"/>
    <w:qFormat/>
    <w:uiPriority w:val="0"/>
    <w:rPr>
      <w:rFonts w:ascii="Times New Roman" w:hAnsi="Times New Roman" w:eastAsia="黑体" w:cs="Times New Roman"/>
      <w:bCs/>
      <w:kern w:val="44"/>
      <w:sz w:val="32"/>
      <w:szCs w:val="44"/>
      <w:lang w:val="zh-CN"/>
    </w:rPr>
  </w:style>
  <w:style w:type="character" w:customStyle="1" w:styleId="26">
    <w:name w:val="标题 2 字符"/>
    <w:basedOn w:val="16"/>
    <w:link w:val="5"/>
    <w:qFormat/>
    <w:uiPriority w:val="1"/>
    <w:rPr>
      <w:rFonts w:ascii="Times New Roman" w:hAnsi="Times New Roman" w:eastAsia="楷体_GB2312" w:cstheme="majorBidi"/>
      <w:b/>
      <w:bCs/>
      <w:kern w:val="0"/>
      <w:sz w:val="32"/>
      <w:szCs w:val="32"/>
      <w:lang w:val="zh-CN"/>
    </w:rPr>
  </w:style>
  <w:style w:type="character" w:customStyle="1" w:styleId="27">
    <w:name w:val="标题 3 字符"/>
    <w:basedOn w:val="16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8">
    <w:name w:val="标题 4 字符"/>
    <w:basedOn w:val="16"/>
    <w:link w:val="7"/>
    <w:qFormat/>
    <w:uiPriority w:val="3"/>
    <w:rPr>
      <w:rFonts w:ascii="Times New Roman" w:hAnsi="Times New Roman" w:eastAsia="仿宋_GB2312" w:cstheme="majorBidi"/>
      <w:b/>
      <w:bCs/>
      <w:kern w:val="0"/>
      <w:sz w:val="32"/>
      <w:szCs w:val="28"/>
      <w:lang w:val="zh-CN"/>
    </w:rPr>
  </w:style>
  <w:style w:type="character" w:customStyle="1" w:styleId="29">
    <w:name w:val="标题 5 字符"/>
    <w:basedOn w:val="16"/>
    <w:link w:val="8"/>
    <w:qFormat/>
    <w:uiPriority w:val="9"/>
    <w:rPr>
      <w:rFonts w:ascii="Times New Roman" w:hAnsi="Times New Roman" w:eastAsia="仿宋_GB2312" w:cs="Times New Roman"/>
      <w:b/>
      <w:bCs/>
      <w:kern w:val="0"/>
      <w:sz w:val="32"/>
      <w:szCs w:val="28"/>
      <w:lang w:val="zh-CN"/>
    </w:rPr>
  </w:style>
  <w:style w:type="character" w:customStyle="1" w:styleId="30">
    <w:name w:val="汇政正文 Char"/>
    <w:link w:val="4"/>
    <w:qFormat/>
    <w:uiPriority w:val="3"/>
    <w:rPr>
      <w:rFonts w:ascii="Times New Roman" w:hAnsi="Times New Roman" w:eastAsia="仿宋_GB2312" w:cs="Times New Roman"/>
      <w:kern w:val="0"/>
      <w:sz w:val="32"/>
      <w:szCs w:val="28"/>
      <w:lang w:val="zh-CN"/>
    </w:rPr>
  </w:style>
  <w:style w:type="paragraph" w:customStyle="1" w:styleId="31">
    <w:name w:val="汇政附件标题"/>
    <w:basedOn w:val="4"/>
    <w:qFormat/>
    <w:uiPriority w:val="6"/>
    <w:pPr>
      <w:numPr>
        <w:ilvl w:val="5"/>
        <w:numId w:val="1"/>
      </w:numPr>
      <w:spacing w:before="120" w:after="60" w:line="240" w:lineRule="auto"/>
      <w:ind w:firstLineChars="0"/>
      <w:outlineLvl w:val="0"/>
    </w:pPr>
    <w:rPr>
      <w:rFonts w:eastAsia="黑体"/>
      <w:b/>
    </w:rPr>
  </w:style>
  <w:style w:type="paragraph" w:customStyle="1" w:styleId="32">
    <w:name w:val="闻政图表名"/>
    <w:basedOn w:val="1"/>
    <w:link w:val="34"/>
    <w:qFormat/>
    <w:uiPriority w:val="4"/>
    <w:pPr>
      <w:spacing w:before="60" w:after="60"/>
      <w:jc w:val="center"/>
    </w:pPr>
    <w:rPr>
      <w:rFonts w:eastAsia="仿宋_GB2312"/>
      <w:b/>
      <w:kern w:val="0"/>
      <w:sz w:val="24"/>
      <w:szCs w:val="28"/>
    </w:rPr>
  </w:style>
  <w:style w:type="character" w:customStyle="1" w:styleId="33">
    <w:name w:val="标题 3 字符1"/>
    <w:basedOn w:val="16"/>
    <w:link w:val="6"/>
    <w:qFormat/>
    <w:uiPriority w:val="2"/>
    <w:rPr>
      <w:rFonts w:ascii="Times New Roman" w:hAnsi="Times New Roman" w:eastAsia="仿宋_GB2312" w:cs="Times New Roman"/>
      <w:bCs/>
      <w:kern w:val="0"/>
      <w:sz w:val="32"/>
      <w:szCs w:val="32"/>
      <w:lang w:val="zh-CN"/>
    </w:rPr>
  </w:style>
  <w:style w:type="character" w:customStyle="1" w:styleId="34">
    <w:name w:val="闻政图表名 字符"/>
    <w:link w:val="32"/>
    <w:qFormat/>
    <w:uiPriority w:val="4"/>
    <w:rPr>
      <w:rFonts w:ascii="Times New Roman" w:hAnsi="Times New Roman" w:eastAsia="仿宋_GB2312" w:cs="Times New Roman"/>
      <w:b/>
      <w:kern w:val="0"/>
      <w:sz w:val="24"/>
      <w:szCs w:val="28"/>
    </w:rPr>
  </w:style>
  <w:style w:type="character" w:customStyle="1" w:styleId="35">
    <w:name w:val="批注框文本 字符"/>
    <w:basedOn w:val="16"/>
    <w:link w:val="10"/>
    <w:semiHidden/>
    <w:qFormat/>
    <w:uiPriority w:val="99"/>
    <w:rPr>
      <w:sz w:val="18"/>
      <w:szCs w:val="18"/>
    </w:rPr>
  </w:style>
  <w:style w:type="paragraph" w:customStyle="1" w:styleId="36">
    <w:name w:val="汇政图表名"/>
    <w:basedOn w:val="1"/>
    <w:link w:val="37"/>
    <w:qFormat/>
    <w:uiPriority w:val="4"/>
    <w:pPr>
      <w:spacing w:before="60" w:after="60"/>
      <w:jc w:val="center"/>
    </w:pPr>
    <w:rPr>
      <w:rFonts w:eastAsia="仿宋_GB2312"/>
      <w:b/>
      <w:kern w:val="0"/>
      <w:sz w:val="24"/>
      <w:szCs w:val="28"/>
    </w:rPr>
  </w:style>
  <w:style w:type="character" w:customStyle="1" w:styleId="37">
    <w:name w:val="汇政图表名 Char"/>
    <w:link w:val="36"/>
    <w:qFormat/>
    <w:uiPriority w:val="4"/>
    <w:rPr>
      <w:rFonts w:ascii="Times New Roman" w:hAnsi="Times New Roman" w:eastAsia="仿宋_GB2312" w:cs="Times New Roman"/>
      <w:b/>
      <w:kern w:val="0"/>
      <w:sz w:val="24"/>
      <w:szCs w:val="28"/>
    </w:rPr>
  </w:style>
  <w:style w:type="character" w:customStyle="1" w:styleId="38">
    <w:name w:val="汇政正文 字符"/>
    <w:qFormat/>
    <w:uiPriority w:val="3"/>
    <w:rPr>
      <w:rFonts w:ascii="Times New Roman" w:hAnsi="Times New Roman" w:eastAsia="仿宋_GB2312" w:cs="Times New Roman"/>
      <w:kern w:val="0"/>
      <w:sz w:val="28"/>
      <w:szCs w:val="28"/>
      <w:lang w:val="zh-CN" w:eastAsia="zh-CN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正文文本 字符"/>
    <w:basedOn w:val="16"/>
    <w:link w:val="9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C017-55AC-490D-B165-1AFE32CAB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4167</Words>
  <Characters>4986</Characters>
  <Lines>50</Lines>
  <Paragraphs>14</Paragraphs>
  <TotalTime>0</TotalTime>
  <ScaleCrop>false</ScaleCrop>
  <LinksUpToDate>false</LinksUpToDate>
  <CharactersWithSpaces>5194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2022-07-30T03:50:00Z</dcterms:created>
  <dc:creator>Administrator</dc:creator>
  <cp:lastModifiedBy>Administrator</cp:lastModifiedBy>
  <cp:lastPrinted>2023-01-04T04:06:00Z</cp:lastPrinted>
  <dcterms:modified xsi:type="dcterms:W3CDTF">2025-09-04T02:19:15Z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EA4368CCA5B44EA4B3496E720A7C928A</vt:lpwstr>
  </property>
</Properties>
</file>